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79F942B3" w14:textId="77777777" w:rsidR="000A56C2" w:rsidRPr="000A56C2" w:rsidRDefault="000A56C2" w:rsidP="000D4C52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</w:pPr>
            <w:r w:rsidRPr="000A56C2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Paper</w:t>
            </w:r>
          </w:p>
          <w:p w14:paraId="3F7D1534" w14:textId="7B229D4B" w:rsidR="00C8423A" w:rsidRPr="009C75AE" w:rsidRDefault="000D4C52" w:rsidP="000D4C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4C52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An Agent-Based Modelling Tool for Evaluating Managed Retreat Policy in Coastal India </w:t>
            </w: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03670569" w14:textId="77777777" w:rsidR="000D4C52" w:rsidRDefault="000D4C5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09984A" w14:textId="3BAD95D3" w:rsidR="006F1EBD" w:rsidRDefault="000D4C52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>Household decisions to relocate or adapt in-situ are profoundly shaped by policy</w:t>
            </w:r>
            <w:r w:rsid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(Zickgraf, 2019)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>, especially in vulnerable coastal regions, where government interventions are often essential to enable effective adaptation.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As a result, supporting decisionmakers in understanding the trade-offs among various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adaptation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options has become an important area of research.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Managed retreat 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>is being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recognized as a necessity by many governments (</w:t>
            </w:r>
            <w:proofErr w:type="spellStart"/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Entzinger</w:t>
            </w:r>
            <w:proofErr w:type="spellEnd"/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Scholten, 2015; McMichael, </w:t>
            </w:r>
            <w:proofErr w:type="spellStart"/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Farbotko</w:t>
            </w:r>
            <w:proofErr w:type="spellEnd"/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McNamara, 2019).</w:t>
            </w:r>
            <w:r w:rsid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However, there is less evidence 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>for the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governments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to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formulate their decisions for or against relocation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how those influences (</w:t>
            </w:r>
            <w:proofErr w:type="spellStart"/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>im</w:t>
            </w:r>
            <w:proofErr w:type="spellEnd"/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>)mobility decisions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</w:t>
            </w:r>
          </w:p>
          <w:p w14:paraId="231C5EB6" w14:textId="77777777" w:rsidR="000D4C52" w:rsidRPr="000D4C52" w:rsidRDefault="000D4C52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9B0141" w14:textId="798AF54E" w:rsidR="000D4C52" w:rsidRDefault="000D4C52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>We take the coastal stretches of Thiruvananthapuram city Kerala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state of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southwest India as a case study. The state government has a relocation scheme for residents within 50 metres of the high tide line, providing housing and financial assistance. </w:t>
            </w:r>
            <w:r w:rsid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S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>ince providing housing requires significant cost from the government’s end, this study aims to look at the possible combinations of relocation assistance to identify what can minimise involuntary immobility.</w:t>
            </w:r>
          </w:p>
          <w:p w14:paraId="155232AD" w14:textId="77777777" w:rsidR="000D4C52" w:rsidRPr="000D4C52" w:rsidRDefault="000D4C52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5A53823B" w14:textId="77777777" w:rsidR="000D4C52" w:rsidRDefault="000D4C5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43BAC7" w14:textId="31B91359" w:rsidR="000D4C52" w:rsidRPr="000D4C52" w:rsidRDefault="000D4C52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This study used an agent-based model, developed based on qualitative and quantitative analyses of primary data from coastal regions in 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CA"/>
              </w:rPr>
              <w:t>Kerala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to evaluate the impact of different policy stances </w:t>
            </w:r>
            <w:r w:rsid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on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(</w:t>
            </w:r>
            <w:proofErr w:type="spellStart"/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>im</w:t>
            </w:r>
            <w:proofErr w:type="spellEnd"/>
            <w:r w:rsid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CA"/>
              </w:rPr>
              <w:t>mobility decisions.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The data was collected through cross-sectional household surveys across vulnerable coastal stretches between April and October 2021 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IN"/>
              </w:rPr>
              <w:t>amongst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890 households. Climate change uncertainty and variability were incorporated into the model through four simulations spanning a 3-year period from 2024. </w:t>
            </w:r>
            <w:r w:rsidR="006F1EBD"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>C1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scenario represents the baseline climate with no further changes to sea level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; 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>C2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scenario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combines the baseline climate with the occurrence of a sudden-onset event, such as a cyclone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,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C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3 scenario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follows the SSP8.5, accounting for increasing tides, storm surges, and sea level rise. For policy evaluation, four scenarios of relocation assistance were developed. Using the current policy of 10% housing and 90% financial assistance as a baseline, alternative scenarios with 25%, 50%, and 75% housing assistance were </w:t>
            </w:r>
            <w:r w:rsidR="00B34693">
              <w:rPr>
                <w:rFonts w:ascii="Arial" w:hAnsi="Arial" w:cs="Arial"/>
                <w:bCs/>
                <w:sz w:val="22"/>
                <w:szCs w:val="22"/>
                <w:lang w:val="en-IN"/>
              </w:rPr>
              <w:t>developed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>.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6BECCDEE" w14:textId="77777777" w:rsidR="000D4C52" w:rsidRDefault="000D4C5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E75320" w14:textId="11D19B01" w:rsidR="000D4C52" w:rsidRPr="000D4C52" w:rsidRDefault="00B34693" w:rsidP="000D4C5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M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obility responses were found to be influenced by the policy stances adopted. In scenarios 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CA"/>
              </w:rPr>
              <w:t>with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no intervention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CA"/>
              </w:rPr>
              <w:t>s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migration trends exhibited a consistent decrease across all climate scenarios. Concurrently, the prevalence of involuntary immobility was pronounced, indicating that a considerable number of individuals would 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CA"/>
              </w:rPr>
              <w:t>be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confined to hazardous regions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without government intervention.</w:t>
            </w:r>
            <w:r w:rsid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CA"/>
              </w:rPr>
              <w:t>T</w:t>
            </w:r>
            <w:r w:rsidR="006F1EBD" w:rsidRP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>he model simulation demonstrated a notable reduction in involuntary immobility in the scenarios where managed retreat is pursued, indicating the need for government support for relocation.</w:t>
            </w:r>
            <w:r w:rsidR="006F1EB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0D4C52"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lastRenderedPageBreak/>
              <w:t>Preliminary results suggest that balancing housing and financial support can provide nuanced pathways to enhance adaptive outcomes.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20FAF548" w14:textId="77777777" w:rsidR="000D4C52" w:rsidRDefault="000D4C5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94D0A" w14:textId="3A676278" w:rsidR="000D4C52" w:rsidRPr="000D4C52" w:rsidRDefault="000D4C52" w:rsidP="000D4C5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This model integrates complex climate and environmental stressors, demographic and social dimensions, political influences, and cognitive aspects. The multifaceted nature of coastal climate risks is captured by slow- and sudden-onset events. 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We 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>evaluate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d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impacts at the household level, recognising </w:t>
            </w:r>
            <w:r w:rsidR="00AF701A">
              <w:rPr>
                <w:rFonts w:ascii="Arial" w:hAnsi="Arial" w:cs="Arial"/>
                <w:bCs/>
                <w:sz w:val="22"/>
                <w:szCs w:val="22"/>
                <w:lang w:val="en-IN"/>
              </w:rPr>
              <w:t>differential impact</w:t>
            </w:r>
            <w:r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and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integrate</w:t>
            </w:r>
            <w:r w:rsid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d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both voluntary and involuntary immobility responses alongside migration.</w:t>
            </w:r>
            <w:r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This study </w:t>
            </w:r>
            <w:r>
              <w:rPr>
                <w:rFonts w:ascii="Arial" w:hAnsi="Arial" w:cs="Arial"/>
                <w:bCs/>
                <w:sz w:val="22"/>
                <w:szCs w:val="22"/>
                <w:lang w:val="en-IN"/>
              </w:rPr>
              <w:t>can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advance evidence-based policy design for coastal adaptation, offering insights into the implications of diverse relocation strategies</w:t>
            </w:r>
            <w:r w:rsidR="00AF701A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for the population</w:t>
            </w:r>
            <w:r w:rsidRPr="000D4C52">
              <w:rPr>
                <w:rFonts w:ascii="Arial" w:hAnsi="Arial" w:cs="Arial"/>
                <w:bCs/>
                <w:sz w:val="22"/>
                <w:szCs w:val="22"/>
                <w:lang w:val="en-IN"/>
              </w:rPr>
              <w:t>.</w:t>
            </w:r>
          </w:p>
          <w:p w14:paraId="6B094644" w14:textId="77777777" w:rsidR="000D4C52" w:rsidRDefault="000D4C5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4E7E23" w14:textId="5E723BA2" w:rsidR="00F46CD0" w:rsidRDefault="00F46CD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  <w:p w14:paraId="4590DBA8" w14:textId="77777777" w:rsidR="00F46CD0" w:rsidRDefault="00F46CD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5DA1F" w14:textId="77777777" w:rsidR="00F46CD0" w:rsidRPr="00F46CD0" w:rsidRDefault="00F46CD0" w:rsidP="00F46CD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  <w:proofErr w:type="spellStart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Entzinger</w:t>
            </w:r>
            <w:proofErr w:type="spellEnd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, H. and Scholten, P. (2015) 'Relocation as an adaptation strategy to environmental stress: Lessons from the Mekong Delta in Vietnam</w:t>
            </w:r>
            <w:proofErr w:type="gramStart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',  </w:t>
            </w:r>
            <w:r w:rsidRPr="00F46CD0">
              <w:rPr>
                <w:rFonts w:ascii="Arial" w:hAnsi="Arial" w:cs="Arial"/>
                <w:bCs/>
                <w:i/>
                <w:iCs/>
                <w:sz w:val="22"/>
                <w:szCs w:val="22"/>
                <w:lang w:val="en-IN"/>
              </w:rPr>
              <w:t>Migration</w:t>
            </w:r>
            <w:proofErr w:type="gramEnd"/>
            <w:r w:rsidRPr="00F46CD0">
              <w:rPr>
                <w:rFonts w:ascii="Arial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, Environment and Climate Change: Policy Brief Series, </w:t>
            </w:r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6(1). https://environmentalmigration.iom.int/sites/g/files/tmzbdl1411/files/documents/policy_brief_issue6_1_0.pdf</w:t>
            </w:r>
          </w:p>
          <w:p w14:paraId="547CA14D" w14:textId="77777777" w:rsidR="00F46CD0" w:rsidRDefault="00F46CD0" w:rsidP="00F46CD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</w:p>
          <w:p w14:paraId="733BD9DC" w14:textId="0D1E0A45" w:rsidR="00F46CD0" w:rsidRDefault="00F46CD0" w:rsidP="00F46CD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McMichael, C., Farbotko, C. and McNamara, K.E. (2019) 'Climate-migration responses in the Pacific region' in </w:t>
            </w:r>
            <w:proofErr w:type="spellStart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Menjívar</w:t>
            </w:r>
            <w:proofErr w:type="spellEnd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, C., Ruiz, M. and Ness, I. (eds.) </w:t>
            </w:r>
            <w:r w:rsidRPr="00F46CD0">
              <w:rPr>
                <w:rFonts w:ascii="Arial" w:hAnsi="Arial" w:cs="Arial"/>
                <w:bCs/>
                <w:i/>
                <w:iCs/>
                <w:sz w:val="22"/>
                <w:szCs w:val="22"/>
                <w:lang w:val="en-IN"/>
              </w:rPr>
              <w:t>The Oxford Handbook of Migration Crises</w:t>
            </w:r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. Oxford Handbooks. </w:t>
            </w:r>
            <w:hyperlink r:id="rId8" w:history="1">
              <w:r w:rsidRPr="00F46CD0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IN"/>
                </w:rPr>
                <w:t>https://doi.org/10.1093/oxfordhb/9780190856908.013.53</w:t>
              </w:r>
            </w:hyperlink>
          </w:p>
          <w:p w14:paraId="3C752B06" w14:textId="77777777" w:rsidR="00F46CD0" w:rsidRDefault="00F46CD0" w:rsidP="00F46CD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</w:p>
          <w:p w14:paraId="4541387C" w14:textId="77777777" w:rsidR="00F46CD0" w:rsidRPr="00F46CD0" w:rsidRDefault="00F46CD0" w:rsidP="00F46CD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  <w:proofErr w:type="spellStart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Mortreux</w:t>
            </w:r>
            <w:proofErr w:type="spellEnd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, C., Safra de Campos, R., Adger, W.N., Ghosh, T., Das, S., Adams, H. and Hazra, S. (2018) 'Political economy of planned relocation: A model of action and inaction in government responses', </w:t>
            </w:r>
            <w:r w:rsidRPr="00F46CD0">
              <w:rPr>
                <w:rFonts w:ascii="Arial" w:hAnsi="Arial" w:cs="Arial"/>
                <w:bCs/>
                <w:i/>
                <w:iCs/>
                <w:sz w:val="22"/>
                <w:szCs w:val="22"/>
                <w:lang w:val="en-IN"/>
              </w:rPr>
              <w:t>Global Environmental Change</w:t>
            </w:r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, 50, pp. 123–132. https://doi.org/10.1016/j.gloenvcha.2018.03.008</w:t>
            </w:r>
          </w:p>
          <w:p w14:paraId="063900C7" w14:textId="77777777" w:rsidR="00F46CD0" w:rsidRDefault="00F46CD0" w:rsidP="00F46CD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</w:p>
          <w:p w14:paraId="118CC65A" w14:textId="77777777" w:rsidR="00F46CD0" w:rsidRDefault="00F46CD0" w:rsidP="00F46CD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IN"/>
              </w:rPr>
            </w:pPr>
          </w:p>
          <w:p w14:paraId="4E1D6D8D" w14:textId="3814816B" w:rsidR="00F46CD0" w:rsidRDefault="00F46CD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Zickgraf, C. (2019) 'Keeping people in place: Political factors of (</w:t>
            </w:r>
            <w:proofErr w:type="spellStart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im</w:t>
            </w:r>
            <w:proofErr w:type="spellEnd"/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)mobility and climate change', </w:t>
            </w:r>
            <w:r w:rsidRPr="00F46CD0">
              <w:rPr>
                <w:rFonts w:ascii="Arial" w:hAnsi="Arial" w:cs="Arial"/>
                <w:bCs/>
                <w:i/>
                <w:iCs/>
                <w:sz w:val="22"/>
                <w:szCs w:val="22"/>
                <w:lang w:val="en-IN"/>
              </w:rPr>
              <w:t>Social Sciences</w:t>
            </w:r>
            <w:r w:rsidRPr="00F46CD0">
              <w:rPr>
                <w:rFonts w:ascii="Arial" w:hAnsi="Arial" w:cs="Arial"/>
                <w:bCs/>
                <w:sz w:val="22"/>
                <w:szCs w:val="22"/>
                <w:lang w:val="en-IN"/>
              </w:rPr>
              <w:t>, 8(8), 228. https://doi.org/10.3390/socsci8080228</w:t>
            </w: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A56C2"/>
    <w:rsid w:val="000D4C52"/>
    <w:rsid w:val="00105E39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642C1D"/>
    <w:rsid w:val="0065012F"/>
    <w:rsid w:val="006765E3"/>
    <w:rsid w:val="0068043B"/>
    <w:rsid w:val="00681CA7"/>
    <w:rsid w:val="006F1EBD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F701A"/>
    <w:rsid w:val="00B026E8"/>
    <w:rsid w:val="00B34693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B7929"/>
    <w:rsid w:val="00DD1BB3"/>
    <w:rsid w:val="00E612FF"/>
    <w:rsid w:val="00EB1B31"/>
    <w:rsid w:val="00F46CD0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4C52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46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oxfordhb/9780190856908.013.5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F0D8A112-5119-4698-8049-14822253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7</cp:revision>
  <cp:lastPrinted>2025-03-03T10:47:00Z</cp:lastPrinted>
  <dcterms:created xsi:type="dcterms:W3CDTF">2024-09-16T20:56:00Z</dcterms:created>
  <dcterms:modified xsi:type="dcterms:W3CDTF">2025-08-19T00:44:00Z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