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3A859" w14:textId="77777777" w:rsidR="00633BE8" w:rsidRPr="006E01C7" w:rsidRDefault="00633BE8" w:rsidP="006E01C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6E01C7">
        <w:rPr>
          <w:rFonts w:ascii="Arial" w:hAnsi="Arial" w:cs="Arial"/>
          <w:b/>
          <w:bCs/>
          <w:sz w:val="22"/>
          <w:szCs w:val="22"/>
        </w:rPr>
        <w:t xml:space="preserve">Systematic review of </w:t>
      </w:r>
      <w:proofErr w:type="spellStart"/>
      <w:r w:rsidRPr="006E01C7">
        <w:rPr>
          <w:rFonts w:ascii="Arial" w:hAnsi="Arial" w:cs="Arial"/>
          <w:b/>
          <w:bCs/>
          <w:sz w:val="22"/>
          <w:szCs w:val="22"/>
        </w:rPr>
        <w:t>glucometric</w:t>
      </w:r>
      <w:proofErr w:type="spellEnd"/>
      <w:r w:rsidRPr="006E01C7">
        <w:rPr>
          <w:rFonts w:ascii="Arial" w:hAnsi="Arial" w:cs="Arial"/>
          <w:b/>
          <w:bCs/>
          <w:sz w:val="22"/>
          <w:szCs w:val="22"/>
        </w:rPr>
        <w:t xml:space="preserve"> reporting within hospital-based diabetes studies, 2006-2023</w:t>
      </w:r>
    </w:p>
    <w:p w14:paraId="4E49FCE0" w14:textId="77777777" w:rsidR="00633BE8" w:rsidRPr="004D4D5A" w:rsidRDefault="00633BE8" w:rsidP="006E01C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4D4D5A">
        <w:rPr>
          <w:rFonts w:ascii="Arial" w:hAnsi="Arial" w:cs="Arial"/>
          <w:b/>
          <w:bCs/>
          <w:sz w:val="22"/>
          <w:szCs w:val="22"/>
        </w:rPr>
        <w:t>Background:</w:t>
      </w:r>
    </w:p>
    <w:p w14:paraId="0776F0B3" w14:textId="76C2E943" w:rsidR="00633BE8" w:rsidRPr="004D4D5A" w:rsidRDefault="00633BE8" w:rsidP="006E01C7">
      <w:pPr>
        <w:spacing w:line="240" w:lineRule="auto"/>
        <w:rPr>
          <w:rFonts w:ascii="Arial" w:hAnsi="Arial" w:cs="Arial"/>
          <w:sz w:val="22"/>
          <w:szCs w:val="22"/>
        </w:rPr>
      </w:pPr>
      <w:r w:rsidRPr="004D4D5A">
        <w:rPr>
          <w:rFonts w:ascii="Arial" w:hAnsi="Arial" w:cs="Arial"/>
          <w:sz w:val="22"/>
          <w:szCs w:val="22"/>
        </w:rPr>
        <w:t>Suboptimal inpatient glycemic control is associated with adverse inpatient events, including healthcare-associated infection</w:t>
      </w:r>
      <w:r w:rsidR="00BA3F11" w:rsidRPr="004D4D5A">
        <w:rPr>
          <w:rFonts w:ascii="Arial" w:hAnsi="Arial" w:cs="Arial"/>
          <w:sz w:val="22"/>
          <w:szCs w:val="22"/>
        </w:rPr>
        <w:t xml:space="preserve"> and</w:t>
      </w:r>
      <w:r w:rsidRPr="004D4D5A">
        <w:rPr>
          <w:rFonts w:ascii="Arial" w:hAnsi="Arial" w:cs="Arial"/>
          <w:sz w:val="22"/>
          <w:szCs w:val="22"/>
        </w:rPr>
        <w:t xml:space="preserve"> longer length of stay, ultimately increasing hospitalisation costs.</w:t>
      </w:r>
      <w:r w:rsidRPr="004D4D5A">
        <w:rPr>
          <w:rFonts w:ascii="Arial" w:hAnsi="Arial" w:cs="Arial"/>
          <w:sz w:val="22"/>
          <w:szCs w:val="22"/>
          <w:vertAlign w:val="superscript"/>
        </w:rPr>
        <w:t>1-6</w:t>
      </w:r>
      <w:r w:rsidRPr="004D4D5A">
        <w:rPr>
          <w:rFonts w:ascii="Arial" w:hAnsi="Arial" w:cs="Arial"/>
          <w:sz w:val="22"/>
          <w:szCs w:val="22"/>
        </w:rPr>
        <w:t xml:space="preserve"> Inpatient glycemia may be improved through standardisation of in-hospital glycaemic measuring and reporting.</w:t>
      </w:r>
    </w:p>
    <w:p w14:paraId="78FCB5E7" w14:textId="77777777" w:rsidR="00633BE8" w:rsidRPr="004D4D5A" w:rsidRDefault="00633BE8" w:rsidP="006E01C7">
      <w:pPr>
        <w:spacing w:line="240" w:lineRule="auto"/>
        <w:rPr>
          <w:rFonts w:ascii="Arial" w:hAnsi="Arial" w:cs="Arial"/>
          <w:sz w:val="22"/>
          <w:szCs w:val="22"/>
        </w:rPr>
      </w:pPr>
      <w:r w:rsidRPr="004D4D5A">
        <w:rPr>
          <w:rFonts w:ascii="Arial" w:hAnsi="Arial" w:cs="Arial"/>
          <w:sz w:val="22"/>
          <w:szCs w:val="22"/>
        </w:rPr>
        <w:t>“</w:t>
      </w:r>
      <w:proofErr w:type="spellStart"/>
      <w:r w:rsidRPr="004D4D5A">
        <w:rPr>
          <w:rFonts w:ascii="Arial" w:hAnsi="Arial" w:cs="Arial"/>
          <w:sz w:val="22"/>
          <w:szCs w:val="22"/>
        </w:rPr>
        <w:t>Glucometrics</w:t>
      </w:r>
      <w:proofErr w:type="spellEnd"/>
      <w:r w:rsidRPr="004D4D5A">
        <w:rPr>
          <w:rFonts w:ascii="Arial" w:hAnsi="Arial" w:cs="Arial"/>
          <w:sz w:val="22"/>
          <w:szCs w:val="22"/>
        </w:rPr>
        <w:t>”, as coined by Goldberg et al. (2006), proposes models (population, patient-stay, and patient-day) that allow quantitative inpatient glycemic data analysis. We conducted a systematic review to investigate the actual use of “</w:t>
      </w:r>
      <w:proofErr w:type="spellStart"/>
      <w:r w:rsidRPr="004D4D5A">
        <w:rPr>
          <w:rFonts w:ascii="Arial" w:hAnsi="Arial" w:cs="Arial"/>
          <w:sz w:val="22"/>
          <w:szCs w:val="22"/>
        </w:rPr>
        <w:t>glucometric</w:t>
      </w:r>
      <w:proofErr w:type="spellEnd"/>
      <w:r w:rsidRPr="004D4D5A">
        <w:rPr>
          <w:rFonts w:ascii="Arial" w:hAnsi="Arial" w:cs="Arial"/>
          <w:sz w:val="22"/>
          <w:szCs w:val="22"/>
        </w:rPr>
        <w:t>” terminology and its derivations over the nearly two decades since conception.</w:t>
      </w:r>
    </w:p>
    <w:p w14:paraId="11DB4593" w14:textId="77777777" w:rsidR="00633BE8" w:rsidRPr="004D4D5A" w:rsidRDefault="00633BE8" w:rsidP="006E01C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4D4D5A">
        <w:rPr>
          <w:rFonts w:ascii="Arial" w:hAnsi="Arial" w:cs="Arial"/>
          <w:b/>
          <w:bCs/>
          <w:sz w:val="22"/>
          <w:szCs w:val="22"/>
        </w:rPr>
        <w:t>Methods:</w:t>
      </w:r>
    </w:p>
    <w:p w14:paraId="2408C630" w14:textId="77777777" w:rsidR="00633BE8" w:rsidRPr="004D4D5A" w:rsidRDefault="00633BE8" w:rsidP="006E01C7">
      <w:pPr>
        <w:spacing w:line="240" w:lineRule="auto"/>
        <w:rPr>
          <w:rFonts w:ascii="Arial" w:hAnsi="Arial" w:cs="Arial"/>
          <w:sz w:val="22"/>
          <w:szCs w:val="22"/>
        </w:rPr>
      </w:pPr>
      <w:r w:rsidRPr="004D4D5A">
        <w:rPr>
          <w:rFonts w:ascii="Arial" w:hAnsi="Arial" w:cs="Arial"/>
          <w:sz w:val="22"/>
          <w:szCs w:val="22"/>
        </w:rPr>
        <w:t>Original research articles on “</w:t>
      </w:r>
      <w:proofErr w:type="spellStart"/>
      <w:r w:rsidRPr="004D4D5A">
        <w:rPr>
          <w:rFonts w:ascii="Arial" w:hAnsi="Arial" w:cs="Arial"/>
          <w:sz w:val="22"/>
          <w:szCs w:val="22"/>
        </w:rPr>
        <w:t>glucometrics</w:t>
      </w:r>
      <w:proofErr w:type="spellEnd"/>
      <w:r w:rsidRPr="004D4D5A">
        <w:rPr>
          <w:rFonts w:ascii="Arial" w:hAnsi="Arial" w:cs="Arial"/>
          <w:sz w:val="22"/>
          <w:szCs w:val="22"/>
        </w:rPr>
        <w:t xml:space="preserve">” and its derivations in inpatient contexts published between January 1, </w:t>
      </w:r>
      <w:proofErr w:type="gramStart"/>
      <w:r w:rsidRPr="004D4D5A">
        <w:rPr>
          <w:rFonts w:ascii="Arial" w:hAnsi="Arial" w:cs="Arial"/>
          <w:sz w:val="22"/>
          <w:szCs w:val="22"/>
        </w:rPr>
        <w:t>2006</w:t>
      </w:r>
      <w:proofErr w:type="gramEnd"/>
      <w:r w:rsidRPr="004D4D5A">
        <w:rPr>
          <w:rFonts w:ascii="Arial" w:hAnsi="Arial" w:cs="Arial"/>
          <w:sz w:val="22"/>
          <w:szCs w:val="22"/>
        </w:rPr>
        <w:t xml:space="preserve"> and August 15, 2023 were searched in PubMed, OVID, Medline, Web of Science, and Cochrane Library. Studies were screened and extracted through PRISMA compliant review software (Covidence®) and systematically reviewed.</w:t>
      </w:r>
    </w:p>
    <w:p w14:paraId="7FA7D23C" w14:textId="77777777" w:rsidR="00633BE8" w:rsidRPr="004D4D5A" w:rsidRDefault="00633BE8" w:rsidP="006E01C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4D4D5A">
        <w:rPr>
          <w:rFonts w:ascii="Arial" w:hAnsi="Arial" w:cs="Arial"/>
          <w:b/>
          <w:bCs/>
          <w:sz w:val="22"/>
          <w:szCs w:val="22"/>
        </w:rPr>
        <w:t>Results:</w:t>
      </w:r>
    </w:p>
    <w:p w14:paraId="64394DD7" w14:textId="0E359410" w:rsidR="00633BE8" w:rsidRPr="004D4D5A" w:rsidRDefault="00633BE8" w:rsidP="006E01C7">
      <w:pPr>
        <w:spacing w:line="240" w:lineRule="auto"/>
        <w:rPr>
          <w:rFonts w:ascii="Arial" w:hAnsi="Arial" w:cs="Arial"/>
          <w:sz w:val="22"/>
          <w:szCs w:val="22"/>
        </w:rPr>
      </w:pPr>
      <w:r w:rsidRPr="004D4D5A">
        <w:rPr>
          <w:rFonts w:ascii="Arial" w:hAnsi="Arial" w:cs="Arial"/>
          <w:sz w:val="22"/>
          <w:szCs w:val="22"/>
        </w:rPr>
        <w:t xml:space="preserve">Of 767 studies identified, 44 were included in the final review. Study settings included non-critical care wards (n=19), critical care (n=6), and both (n=13). Of the Goldberg models, patient-day was </w:t>
      </w:r>
      <w:r w:rsidR="00743DE0" w:rsidRPr="004D4D5A">
        <w:rPr>
          <w:rFonts w:ascii="Arial" w:hAnsi="Arial" w:cs="Arial"/>
          <w:sz w:val="22"/>
          <w:szCs w:val="22"/>
        </w:rPr>
        <w:t>most used</w:t>
      </w:r>
      <w:r w:rsidRPr="004D4D5A">
        <w:rPr>
          <w:rFonts w:ascii="Arial" w:hAnsi="Arial" w:cs="Arial"/>
          <w:sz w:val="22"/>
          <w:szCs w:val="22"/>
        </w:rPr>
        <w:t xml:space="preserve"> (n=33 studies), followed by patient-stay (n=18), and population (n=7). While most studies (n=30) referred to “</w:t>
      </w:r>
      <w:proofErr w:type="spellStart"/>
      <w:r w:rsidRPr="004D4D5A">
        <w:rPr>
          <w:rFonts w:ascii="Arial" w:hAnsi="Arial" w:cs="Arial"/>
          <w:sz w:val="22"/>
          <w:szCs w:val="22"/>
        </w:rPr>
        <w:t>glucometrics</w:t>
      </w:r>
      <w:proofErr w:type="spellEnd"/>
      <w:r w:rsidRPr="004D4D5A">
        <w:rPr>
          <w:rFonts w:ascii="Arial" w:hAnsi="Arial" w:cs="Arial"/>
          <w:sz w:val="22"/>
          <w:szCs w:val="22"/>
        </w:rPr>
        <w:t>” per the original description,</w:t>
      </w:r>
      <w:r w:rsidR="001419B0" w:rsidRPr="004D4D5A">
        <w:rPr>
          <w:rFonts w:ascii="Arial" w:hAnsi="Arial" w:cs="Arial"/>
          <w:sz w:val="22"/>
          <w:szCs w:val="22"/>
          <w:vertAlign w:val="superscript"/>
        </w:rPr>
        <w:t>7</w:t>
      </w:r>
      <w:r w:rsidRPr="004D4D5A">
        <w:rPr>
          <w:rFonts w:ascii="Arial" w:hAnsi="Arial" w:cs="Arial"/>
          <w:sz w:val="22"/>
          <w:szCs w:val="22"/>
        </w:rPr>
        <w:t xml:space="preserve"> some (n=11) used it to generally refer to glycaemic measurement/reporting, while four studies used it as a proper noun. Three studies proposed new models: time-weighted average glucose, adverse glycemic days, and glucose excursions.</w:t>
      </w:r>
    </w:p>
    <w:p w14:paraId="056C2FAA" w14:textId="37EF4EA9" w:rsidR="00633BE8" w:rsidRPr="004D4D5A" w:rsidRDefault="00633BE8" w:rsidP="006E01C7">
      <w:pPr>
        <w:spacing w:line="240" w:lineRule="auto"/>
        <w:rPr>
          <w:rFonts w:ascii="Arial" w:hAnsi="Arial" w:cs="Arial"/>
          <w:sz w:val="22"/>
          <w:szCs w:val="22"/>
        </w:rPr>
      </w:pPr>
      <w:r w:rsidRPr="004D4D5A">
        <w:rPr>
          <w:rFonts w:ascii="Arial" w:hAnsi="Arial" w:cs="Arial"/>
          <w:sz w:val="22"/>
          <w:szCs w:val="22"/>
        </w:rPr>
        <w:t xml:space="preserve">Significant variation in thresholds defining hyper- and hypoglycemia </w:t>
      </w:r>
      <w:r w:rsidR="00790421" w:rsidRPr="004D4D5A">
        <w:rPr>
          <w:rFonts w:ascii="Arial" w:hAnsi="Arial" w:cs="Arial"/>
          <w:sz w:val="22"/>
          <w:szCs w:val="22"/>
        </w:rPr>
        <w:t>existed</w:t>
      </w:r>
      <w:r w:rsidRPr="004D4D5A">
        <w:rPr>
          <w:rFonts w:ascii="Arial" w:hAnsi="Arial" w:cs="Arial"/>
          <w:sz w:val="22"/>
          <w:szCs w:val="22"/>
        </w:rPr>
        <w:t xml:space="preserve"> between studies. </w:t>
      </w:r>
      <w:r w:rsidR="001419B0" w:rsidRPr="004D4D5A">
        <w:rPr>
          <w:rFonts w:ascii="Arial" w:hAnsi="Arial" w:cs="Arial"/>
          <w:sz w:val="22"/>
          <w:szCs w:val="22"/>
        </w:rPr>
        <w:t>Defined hyperglycemia ranged between</w:t>
      </w:r>
      <w:r w:rsidRPr="004D4D5A">
        <w:rPr>
          <w:rFonts w:ascii="Arial" w:hAnsi="Arial" w:cs="Arial"/>
          <w:sz w:val="22"/>
          <w:szCs w:val="22"/>
        </w:rPr>
        <w:t xml:space="preserve"> 7.8-22.2 mg/dL (most commonly 16.7 mg/dL), while the hypoglycemia ranged between 2.2-3.9 mg/dL (most commonly 3.9 mg/dL). </w:t>
      </w:r>
    </w:p>
    <w:p w14:paraId="226D3838" w14:textId="77777777" w:rsidR="00633BE8" w:rsidRPr="004D4D5A" w:rsidRDefault="00633BE8" w:rsidP="006E01C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4D4D5A">
        <w:rPr>
          <w:rFonts w:ascii="Arial" w:hAnsi="Arial" w:cs="Arial"/>
          <w:b/>
          <w:bCs/>
          <w:sz w:val="22"/>
          <w:szCs w:val="22"/>
        </w:rPr>
        <w:t>Conclusion:</w:t>
      </w:r>
    </w:p>
    <w:p w14:paraId="075E05B0" w14:textId="682D330E" w:rsidR="00633BE8" w:rsidRPr="006E01C7" w:rsidRDefault="00633BE8" w:rsidP="006E01C7">
      <w:pPr>
        <w:spacing w:line="240" w:lineRule="auto"/>
        <w:rPr>
          <w:rFonts w:ascii="Arial" w:hAnsi="Arial" w:cs="Arial"/>
          <w:sz w:val="20"/>
          <w:szCs w:val="20"/>
        </w:rPr>
      </w:pPr>
      <w:r w:rsidRPr="004D4D5A">
        <w:rPr>
          <w:rFonts w:ascii="Arial" w:hAnsi="Arial" w:cs="Arial"/>
          <w:sz w:val="22"/>
          <w:szCs w:val="22"/>
        </w:rPr>
        <w:t xml:space="preserve">This systematic review provides useful insight into current use of </w:t>
      </w:r>
      <w:proofErr w:type="spellStart"/>
      <w:r w:rsidRPr="004D4D5A">
        <w:rPr>
          <w:rFonts w:ascii="Arial" w:hAnsi="Arial" w:cs="Arial"/>
          <w:sz w:val="22"/>
          <w:szCs w:val="22"/>
        </w:rPr>
        <w:t>glucometric</w:t>
      </w:r>
      <w:proofErr w:type="spellEnd"/>
      <w:r w:rsidRPr="004D4D5A">
        <w:rPr>
          <w:rFonts w:ascii="Arial" w:hAnsi="Arial" w:cs="Arial"/>
          <w:sz w:val="22"/>
          <w:szCs w:val="22"/>
        </w:rPr>
        <w:t xml:space="preserve"> terminology, highlighting the lack of consensus on a standardised approach towards analysing inpatient glycemia. This review increases awareness and prompts actions to facilitate </w:t>
      </w:r>
      <w:proofErr w:type="spellStart"/>
      <w:r w:rsidRPr="004D4D5A">
        <w:rPr>
          <w:rFonts w:ascii="Arial" w:hAnsi="Arial" w:cs="Arial"/>
          <w:sz w:val="22"/>
          <w:szCs w:val="22"/>
        </w:rPr>
        <w:t>glucometric</w:t>
      </w:r>
      <w:proofErr w:type="spellEnd"/>
      <w:r w:rsidRPr="004D4D5A">
        <w:rPr>
          <w:rFonts w:ascii="Arial" w:hAnsi="Arial" w:cs="Arial"/>
          <w:sz w:val="22"/>
          <w:szCs w:val="22"/>
        </w:rPr>
        <w:t xml:space="preserve"> harmonisation, which will contribute to future improvements in inpatient glycemia and diabetes </w:t>
      </w:r>
      <w:r w:rsidRPr="006E01C7">
        <w:rPr>
          <w:rFonts w:ascii="Arial" w:hAnsi="Arial" w:cs="Arial"/>
          <w:sz w:val="20"/>
          <w:szCs w:val="20"/>
        </w:rPr>
        <w:t>care.</w:t>
      </w:r>
    </w:p>
    <w:p w14:paraId="659EF693" w14:textId="77777777" w:rsidR="00690C83" w:rsidRPr="006E01C7" w:rsidRDefault="00690C83" w:rsidP="006E01C7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90C83" w:rsidRPr="006E01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E8"/>
    <w:rsid w:val="00041D7F"/>
    <w:rsid w:val="000925CE"/>
    <w:rsid w:val="001419B0"/>
    <w:rsid w:val="001C21AB"/>
    <w:rsid w:val="003548BD"/>
    <w:rsid w:val="003C1E15"/>
    <w:rsid w:val="004D4D5A"/>
    <w:rsid w:val="0058793A"/>
    <w:rsid w:val="00633BE8"/>
    <w:rsid w:val="00690C83"/>
    <w:rsid w:val="006D67D3"/>
    <w:rsid w:val="006E01C7"/>
    <w:rsid w:val="00743DE0"/>
    <w:rsid w:val="00790421"/>
    <w:rsid w:val="008A2753"/>
    <w:rsid w:val="00A72A46"/>
    <w:rsid w:val="00B223A9"/>
    <w:rsid w:val="00BA3F11"/>
    <w:rsid w:val="00C70074"/>
    <w:rsid w:val="00C70F14"/>
    <w:rsid w:val="00DB710C"/>
    <w:rsid w:val="00E6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61E22"/>
  <w15:chartTrackingRefBased/>
  <w15:docId w15:val="{1D8D12E3-0078-4CA8-8F51-A7E030D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BE8"/>
  </w:style>
  <w:style w:type="paragraph" w:styleId="Heading1">
    <w:name w:val="heading 1"/>
    <w:basedOn w:val="Normal"/>
    <w:next w:val="Normal"/>
    <w:link w:val="Heading1Char"/>
    <w:uiPriority w:val="9"/>
    <w:qFormat/>
    <w:rsid w:val="00633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BE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33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A60B3-826B-442D-AD2F-B66EF7D73711}">
  <ds:schemaRefs>
    <ds:schemaRef ds:uri="cab52c9b-ab33-4221-8af9-54f8f2b86a80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c8a2b7b-0bee-4c48-b0a6-23db8982d3bc"/>
    <ds:schemaRef ds:uri="6911e96c-4cc4-42d5-8e43-f93924cf6a05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27BD0DE-915B-42A0-8A8C-7C07D92F7B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E73EF-86CC-48AD-8577-E37FD2568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Yoo</dc:creator>
  <cp:keywords/>
  <dc:description/>
  <cp:lastModifiedBy>Kelly Borja</cp:lastModifiedBy>
  <cp:revision>2</cp:revision>
  <dcterms:created xsi:type="dcterms:W3CDTF">2025-05-28T02:53:00Z</dcterms:created>
  <dcterms:modified xsi:type="dcterms:W3CDTF">2025-05-28T02:53:00Z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