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0"/>
      </w:tblGrid>
      <w:tr w:rsidR="001564A4" w:rsidRPr="00E9637F" w14:paraId="5C38377B" w14:textId="77777777" w:rsidTr="0006588A">
        <w:trPr>
          <w:trHeight w:val="778"/>
          <w:jc w:val="center"/>
        </w:trPr>
        <w:tc>
          <w:tcPr>
            <w:tcW w:w="8550" w:type="dxa"/>
            <w:shd w:val="clear" w:color="auto" w:fill="auto"/>
          </w:tcPr>
          <w:p w14:paraId="5C44F357" w14:textId="378FCCF9" w:rsidR="001564A4" w:rsidRPr="00E9637F" w:rsidRDefault="00C673C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Report of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r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adiation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d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osimetry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u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sing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n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ovel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e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xternally </w:t>
            </w:r>
            <w:r w:rsidR="003E4E3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c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ooled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B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ronchoscopic</w:t>
            </w:r>
            <w:proofErr w:type="spellEnd"/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R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adiofrequency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A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blation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C</w:t>
            </w:r>
            <w:r w:rsidR="0099522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atheter  </w:t>
            </w:r>
          </w:p>
        </w:tc>
      </w:tr>
      <w:tr w:rsidR="001564A4" w:rsidRPr="00E9637F" w14:paraId="0E2E035C" w14:textId="77777777" w:rsidTr="0099522F">
        <w:trPr>
          <w:trHeight w:val="469"/>
          <w:jc w:val="center"/>
        </w:trPr>
        <w:tc>
          <w:tcPr>
            <w:tcW w:w="8550" w:type="dxa"/>
            <w:shd w:val="clear" w:color="auto" w:fill="auto"/>
          </w:tcPr>
          <w:p w14:paraId="73B55295" w14:textId="7E16522F" w:rsidR="001564A4" w:rsidRPr="003E4E39" w:rsidRDefault="0099522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Jack Watson</w:t>
            </w:r>
            <w:r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6588A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bookmarkEnd w:id="0"/>
            <w:r w:rsidR="0006588A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Paul. F</w:t>
            </w:r>
            <w:r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Einsiedel</w:t>
            </w:r>
            <w:r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Phillip Antippa</w:t>
            </w:r>
            <w:r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="005073FB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, Kanishka Ran</w:t>
            </w:r>
            <w:r w:rsidR="000827CD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g</w:t>
            </w:r>
            <w:r w:rsidR="005073FB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amuwa</w:t>
            </w:r>
            <w:r w:rsidR="005073FB"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073FB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Louis B. Irving </w:t>
            </w:r>
            <w:r w:rsidR="005073FB"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073FB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, D</w:t>
            </w:r>
            <w:r w:rsidR="0006588A"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>aniel</w:t>
            </w:r>
            <w:r w:rsidRPr="003E4E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 Steinfort</w:t>
            </w:r>
            <w:r w:rsidRPr="003E4E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1,2</w:t>
            </w:r>
          </w:p>
        </w:tc>
      </w:tr>
      <w:tr w:rsidR="001564A4" w:rsidRPr="00E9637F" w14:paraId="385A19D9" w14:textId="77777777" w:rsidTr="000504B5">
        <w:trPr>
          <w:trHeight w:val="1371"/>
          <w:jc w:val="center"/>
        </w:trPr>
        <w:tc>
          <w:tcPr>
            <w:tcW w:w="8550" w:type="dxa"/>
            <w:shd w:val="clear" w:color="auto" w:fill="auto"/>
          </w:tcPr>
          <w:p w14:paraId="3F07B6C0" w14:textId="77777777" w:rsidR="001564A4" w:rsidRPr="003E4E39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3E4E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9522F" w:rsidRPr="003E4E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</w:t>
            </w:r>
            <w:r w:rsidR="0006588A" w:rsidRPr="003E4E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oyal Melbourne Hospital</w:t>
            </w:r>
          </w:p>
          <w:p w14:paraId="4890FB29" w14:textId="77777777" w:rsidR="0099522F" w:rsidRPr="003E4E39" w:rsidRDefault="0099522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3E4E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3E4E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Medicine, University of Melbourne </w:t>
            </w:r>
          </w:p>
          <w:p w14:paraId="0C102E88" w14:textId="77777777" w:rsidR="0099522F" w:rsidRPr="003E4E39" w:rsidRDefault="0099522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3E4E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3E4E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Cardiothoracic Surgery Unit, Royal Melbourne Hospital</w:t>
            </w:r>
          </w:p>
          <w:p w14:paraId="45ED36BF" w14:textId="6CBA3CDA" w:rsidR="0099522F" w:rsidRPr="0099522F" w:rsidRDefault="0099522F" w:rsidP="000A28E2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en-US" w:eastAsia="en-GB"/>
              </w:rPr>
            </w:pPr>
            <w:r w:rsidRPr="003E4E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3E4E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Surgery, University of Melbourne</w:t>
            </w:r>
          </w:p>
        </w:tc>
      </w:tr>
      <w:tr w:rsidR="001564A4" w:rsidRPr="00E9637F" w14:paraId="6DAF615A" w14:textId="77777777" w:rsidTr="003E4E39">
        <w:trPr>
          <w:trHeight w:hRule="exact" w:val="9737"/>
          <w:jc w:val="center"/>
        </w:trPr>
        <w:tc>
          <w:tcPr>
            <w:tcW w:w="8550" w:type="dxa"/>
            <w:shd w:val="clear" w:color="auto" w:fill="auto"/>
          </w:tcPr>
          <w:p w14:paraId="735AE8F7" w14:textId="61AC8AE5" w:rsidR="0006588A" w:rsidRDefault="001564A4" w:rsidP="0099522F">
            <w:pPr>
              <w:pStyle w:val="Pa12"/>
              <w:jc w:val="both"/>
              <w:rPr>
                <w:sz w:val="22"/>
                <w:szCs w:val="22"/>
              </w:rPr>
            </w:pPr>
            <w:r w:rsidRPr="00CD4FD4">
              <w:rPr>
                <w:rStyle w:val="A4"/>
                <w:b/>
                <w:bCs/>
              </w:rPr>
              <w:t xml:space="preserve">Introduction/Aim: </w:t>
            </w:r>
            <w:r w:rsidRPr="00CD4FD4">
              <w:rPr>
                <w:sz w:val="22"/>
                <w:szCs w:val="22"/>
              </w:rPr>
              <w:br/>
            </w:r>
            <w:r w:rsidR="0006588A" w:rsidRPr="00CD4FD4">
              <w:rPr>
                <w:sz w:val="22"/>
                <w:szCs w:val="22"/>
              </w:rPr>
              <w:t xml:space="preserve">Endobronchial radiofrequency ablation (RFA) is a novel approach to management of peripheral </w:t>
            </w:r>
            <w:proofErr w:type="spellStart"/>
            <w:r w:rsidR="0006588A" w:rsidRPr="00CD4FD4">
              <w:rPr>
                <w:sz w:val="22"/>
                <w:szCs w:val="22"/>
              </w:rPr>
              <w:t>non small</w:t>
            </w:r>
            <w:proofErr w:type="spellEnd"/>
            <w:r w:rsidR="0006588A" w:rsidRPr="00CD4FD4">
              <w:rPr>
                <w:sz w:val="22"/>
                <w:szCs w:val="22"/>
              </w:rPr>
              <w:t xml:space="preserve"> cell lung cancer (NSCLC) in medically inoperable patients. A pilot study with 10 patients was conducted indicating that </w:t>
            </w:r>
            <w:proofErr w:type="spellStart"/>
            <w:r w:rsidR="0006588A" w:rsidRPr="00CD4FD4">
              <w:rPr>
                <w:sz w:val="22"/>
                <w:szCs w:val="22"/>
              </w:rPr>
              <w:t>Bronchoscopic</w:t>
            </w:r>
            <w:proofErr w:type="spellEnd"/>
            <w:r w:rsidR="0006588A" w:rsidRPr="00CD4FD4">
              <w:rPr>
                <w:sz w:val="22"/>
                <w:szCs w:val="22"/>
              </w:rPr>
              <w:t xml:space="preserve"> RFA was both feasible and appeared safe while achieving uniform ablation to the treatment zone. </w:t>
            </w:r>
            <w:r w:rsidR="00E17EF7" w:rsidRPr="00CD4FD4">
              <w:rPr>
                <w:sz w:val="22"/>
                <w:szCs w:val="22"/>
              </w:rPr>
              <w:t xml:space="preserve">Radiation dosimetry has not previously been determined for this approach. </w:t>
            </w:r>
          </w:p>
          <w:p w14:paraId="22979942" w14:textId="77777777" w:rsidR="003E4E39" w:rsidRPr="003E4E39" w:rsidRDefault="003E4E39" w:rsidP="003E4E39">
            <w:pPr>
              <w:pStyle w:val="Default"/>
            </w:pPr>
          </w:p>
          <w:p w14:paraId="007BF6E2" w14:textId="0A8D9DB2" w:rsidR="0006588A" w:rsidRPr="00CD4FD4" w:rsidRDefault="001564A4" w:rsidP="0099522F">
            <w:pPr>
              <w:pStyle w:val="Pa1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D4FD4">
              <w:rPr>
                <w:rStyle w:val="A4"/>
                <w:b/>
                <w:bCs/>
              </w:rPr>
              <w:t xml:space="preserve">Methods: </w:t>
            </w:r>
          </w:p>
          <w:p w14:paraId="312DD94C" w14:textId="701F7AB6" w:rsidR="0006588A" w:rsidRDefault="0006588A" w:rsidP="009952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FD4">
              <w:rPr>
                <w:rFonts w:ascii="Arial" w:hAnsi="Arial" w:cs="Arial"/>
                <w:sz w:val="22"/>
                <w:szCs w:val="22"/>
              </w:rPr>
              <w:t xml:space="preserve">Post Hoc analysis of data collected on </w:t>
            </w:r>
            <w:r w:rsidRPr="00CD4FD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patients with stage I biopsy-confirmed NSCLC underwent </w:t>
            </w:r>
            <w:proofErr w:type="spellStart"/>
            <w:r w:rsidRPr="00CD4FD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bronchoscopic</w:t>
            </w:r>
            <w:proofErr w:type="spellEnd"/>
            <w:r w:rsidRPr="00CD4FD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RFA of tumour 7 days prior to lobectomy. The RFA catheter was delivered </w:t>
            </w:r>
            <w:proofErr w:type="spellStart"/>
            <w:r w:rsidRPr="00CD4FD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bronchoscopically</w:t>
            </w:r>
            <w:proofErr w:type="spellEnd"/>
            <w:r w:rsidRPr="00CD4FD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to peripheral NSCLC lesions, guided by radial endobronchial ultrasound, with positioning confirmed using intra-procedural cone beam CT. Pre-operative CT chest and histologic examination of resected specimens were used to establish distribution/uniformity of ablation and efficacy of tumour ablation.</w:t>
            </w:r>
            <w:r w:rsidR="001564A4" w:rsidRPr="00CD4FD4">
              <w:rPr>
                <w:rFonts w:ascii="Arial" w:hAnsi="Arial" w:cs="Arial"/>
                <w:sz w:val="22"/>
                <w:szCs w:val="22"/>
              </w:rPr>
              <w:br/>
            </w:r>
            <w:r w:rsidRPr="00CD4FD4">
              <w:rPr>
                <w:rFonts w:ascii="Arial" w:hAnsi="Arial" w:cs="Arial"/>
                <w:sz w:val="22"/>
                <w:szCs w:val="22"/>
              </w:rPr>
              <w:t xml:space="preserve">Effective dose estimates for these patients has been calculated using the Monte Carlo simulation. </w:t>
            </w:r>
          </w:p>
          <w:p w14:paraId="6B9D9BA7" w14:textId="77777777" w:rsidR="003E4E39" w:rsidRPr="00CD4FD4" w:rsidRDefault="003E4E39" w:rsidP="009952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0A1493" w14:textId="0F604220" w:rsidR="003E4E39" w:rsidRPr="003E4E39" w:rsidRDefault="001564A4" w:rsidP="003E4E39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CD4FD4">
              <w:rPr>
                <w:rStyle w:val="A4"/>
                <w:b/>
                <w:bCs/>
              </w:rPr>
              <w:t xml:space="preserve">Results: </w:t>
            </w:r>
          </w:p>
          <w:p w14:paraId="4A8CBF35" w14:textId="1B6430FF" w:rsidR="000504B5" w:rsidRPr="00CD4FD4" w:rsidRDefault="000504B5" w:rsidP="000504B5">
            <w:pPr>
              <w:pStyle w:val="CommentText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CD4FD4">
              <w:rPr>
                <w:rFonts w:ascii="Arial" w:hAnsi="Arial" w:cs="Arial"/>
                <w:sz w:val="22"/>
                <w:szCs w:val="22"/>
              </w:rPr>
              <w:t xml:space="preserve">The approximate effective dose estimates in this group ranged from 7.2 to 47.7 mSv with a mean of 23 +/- 14.8 which compares </w:t>
            </w:r>
            <w:r w:rsidR="00227223" w:rsidRPr="00CD4FD4">
              <w:rPr>
                <w:rFonts w:ascii="Arial" w:hAnsi="Arial" w:cs="Arial"/>
                <w:sz w:val="22"/>
                <w:szCs w:val="22"/>
              </w:rPr>
              <w:t>favourably radiation exposure associated with percutaneous RFA tumour ablation (</w:t>
            </w:r>
            <w:r w:rsidR="00227223" w:rsidRPr="00CD4FD4">
              <w:rPr>
                <w:rFonts w:ascii="Arial" w:hAnsi="Arial" w:cs="Arial"/>
                <w:color w:val="1F1F1F"/>
                <w:sz w:val="22"/>
                <w:szCs w:val="22"/>
              </w:rPr>
              <w:t>mean radiation dose of 35.3 mSv for lung percutaneous ablation under CT guidance</w:t>
            </w:r>
            <w:proofErr w:type="gramStart"/>
            <w:r w:rsidR="00227223" w:rsidRPr="00CD4F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).</w:t>
            </w:r>
            <w:r w:rsidR="00227223" w:rsidRPr="00CD4FD4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="00227223" w:rsidRPr="00CD4FD4">
              <w:rPr>
                <w:rFonts w:ascii="Arial" w:hAnsi="Arial" w:cs="Arial"/>
                <w:sz w:val="22"/>
                <w:szCs w:val="22"/>
              </w:rPr>
              <w:t xml:space="preserve"> is also consistent when compared to other diagnostic interventional radiological procedures including C</w:t>
            </w:r>
            <w:r w:rsidR="00CD4FD4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227223" w:rsidRPr="00CD4FD4">
              <w:rPr>
                <w:rFonts w:ascii="Arial" w:hAnsi="Arial" w:cs="Arial"/>
                <w:sz w:val="22"/>
                <w:szCs w:val="22"/>
              </w:rPr>
              <w:t>B</w:t>
            </w:r>
            <w:r w:rsidR="00CD4FD4">
              <w:rPr>
                <w:rFonts w:ascii="Arial" w:hAnsi="Arial" w:cs="Arial"/>
                <w:sz w:val="22"/>
                <w:szCs w:val="22"/>
              </w:rPr>
              <w:t xml:space="preserve">eam </w:t>
            </w:r>
            <w:r w:rsidR="00227223" w:rsidRPr="00CD4FD4">
              <w:rPr>
                <w:rFonts w:ascii="Arial" w:hAnsi="Arial" w:cs="Arial"/>
                <w:sz w:val="22"/>
                <w:szCs w:val="22"/>
              </w:rPr>
              <w:t xml:space="preserve">CT guidance for </w:t>
            </w:r>
            <w:proofErr w:type="spellStart"/>
            <w:r w:rsidR="00227223" w:rsidRPr="00CD4FD4">
              <w:rPr>
                <w:rFonts w:ascii="Arial" w:hAnsi="Arial" w:cs="Arial"/>
                <w:sz w:val="22"/>
                <w:szCs w:val="22"/>
              </w:rPr>
              <w:t>cryobiopsy</w:t>
            </w:r>
            <w:proofErr w:type="spellEnd"/>
            <w:r w:rsidR="00227223" w:rsidRPr="00CD4FD4">
              <w:rPr>
                <w:rFonts w:ascii="Arial" w:hAnsi="Arial" w:cs="Arial"/>
                <w:sz w:val="22"/>
                <w:szCs w:val="22"/>
              </w:rPr>
              <w:t xml:space="preserve"> (mean 31.4 +/- 19.6). </w:t>
            </w:r>
          </w:p>
          <w:p w14:paraId="2FF4DFDA" w14:textId="5B9A3990" w:rsidR="00227223" w:rsidRDefault="00CD4FD4" w:rsidP="000504B5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CD4FD4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e effective dose of radiation with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bronchoscopic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RFA</w:t>
            </w:r>
            <w:r w:rsidRPr="00CD4FD4">
              <w:rPr>
                <w:rFonts w:ascii="Arial" w:hAnsi="Arial" w:cs="Arial"/>
                <w:sz w:val="22"/>
                <w:szCs w:val="22"/>
              </w:rPr>
              <w:t xml:space="preserve"> is comparatively higher than the reported </w:t>
            </w:r>
            <w:r>
              <w:rPr>
                <w:rFonts w:ascii="Arial" w:hAnsi="Arial" w:cs="Arial"/>
                <w:sz w:val="22"/>
                <w:szCs w:val="22"/>
              </w:rPr>
              <w:t>dose</w:t>
            </w:r>
            <w:r w:rsidRPr="00CD4FD4">
              <w:rPr>
                <w:rFonts w:ascii="Arial" w:hAnsi="Arial" w:cs="Arial"/>
                <w:sz w:val="22"/>
                <w:szCs w:val="22"/>
              </w:rPr>
              <w:t xml:space="preserve"> associated with CT-guided lung biopsy (5.3 +/- 1.6 mSv) and that associated with Coronary angiography and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D4FD4">
              <w:rPr>
                <w:rFonts w:ascii="Arial" w:hAnsi="Arial" w:cs="Arial"/>
                <w:sz w:val="22"/>
                <w:szCs w:val="22"/>
              </w:rPr>
              <w:t>nvasive catheter angiography (2.9 +/- 0.9 and 5.6 +/- 0.55 mSv respectively)</w:t>
            </w:r>
          </w:p>
          <w:p w14:paraId="1BB421E6" w14:textId="77777777" w:rsidR="003E4E39" w:rsidRDefault="003E4E39" w:rsidP="000504B5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69B04572" w14:textId="6A14E5D7" w:rsidR="001564A4" w:rsidRDefault="001564A4" w:rsidP="0099522F">
            <w:pPr>
              <w:pStyle w:val="Pa1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4FD4">
              <w:rPr>
                <w:rStyle w:val="A4"/>
                <w:b/>
                <w:bCs/>
              </w:rPr>
              <w:t xml:space="preserve">Conclusion: </w:t>
            </w:r>
            <w:r w:rsidRPr="00CD4FD4">
              <w:rPr>
                <w:sz w:val="22"/>
                <w:szCs w:val="22"/>
              </w:rPr>
              <w:br/>
            </w:r>
            <w:r w:rsidR="0006588A" w:rsidRPr="00CD4FD4">
              <w:rPr>
                <w:sz w:val="22"/>
                <w:szCs w:val="22"/>
              </w:rPr>
              <w:t xml:space="preserve">This is the first study to </w:t>
            </w:r>
            <w:r w:rsidR="0006588A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report radiation dosimetry </w:t>
            </w:r>
            <w:r w:rsidR="00E92E47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consequent to CBCT guidance </w:t>
            </w:r>
            <w:r w:rsidR="0006588A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proofErr w:type="spellStart"/>
            <w:r w:rsidR="0006588A" w:rsidRPr="00CD4FD4">
              <w:rPr>
                <w:color w:val="000000"/>
                <w:sz w:val="22"/>
                <w:szCs w:val="22"/>
                <w:shd w:val="clear" w:color="auto" w:fill="FFFFFF"/>
              </w:rPr>
              <w:t>bronchoscopic</w:t>
            </w:r>
            <w:proofErr w:type="spellEnd"/>
            <w:r w:rsidR="0006588A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D4FD4" w:rsidRPr="00CD4FD4">
              <w:rPr>
                <w:color w:val="000000"/>
                <w:sz w:val="22"/>
                <w:szCs w:val="22"/>
                <w:shd w:val="clear" w:color="auto" w:fill="FFFFFF"/>
              </w:rPr>
              <w:t>radiofrequency</w:t>
            </w:r>
            <w:r w:rsidR="0099522F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6588A" w:rsidRPr="00CD4FD4">
              <w:rPr>
                <w:color w:val="000000"/>
                <w:sz w:val="22"/>
                <w:szCs w:val="22"/>
                <w:shd w:val="clear" w:color="auto" w:fill="FFFFFF"/>
              </w:rPr>
              <w:t>ablation procedures</w:t>
            </w:r>
            <w:r w:rsidR="00E92E47" w:rsidRPr="00CD4FD4">
              <w:rPr>
                <w:color w:val="000000"/>
                <w:sz w:val="22"/>
                <w:szCs w:val="22"/>
                <w:shd w:val="clear" w:color="auto" w:fill="FFFFFF"/>
              </w:rPr>
              <w:t xml:space="preserve">. Doses appear comparable to other CT-fluoroscopic procedures. </w:t>
            </w:r>
          </w:p>
          <w:p w14:paraId="5ADB845B" w14:textId="77777777" w:rsidR="003E4E39" w:rsidRPr="003E4E39" w:rsidRDefault="003E4E39" w:rsidP="003E4E39">
            <w:pPr>
              <w:pStyle w:val="Default"/>
            </w:pPr>
          </w:p>
          <w:p w14:paraId="3E8B4283" w14:textId="77777777" w:rsidR="001564A4" w:rsidRPr="00CD4FD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D4FD4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31F5769E" w:rsidR="001564A4" w:rsidRPr="00E9637F" w:rsidRDefault="0006588A" w:rsidP="000A28E2">
            <w:pPr>
              <w:pStyle w:val="Pa12"/>
              <w:rPr>
                <w:sz w:val="22"/>
                <w:szCs w:val="22"/>
              </w:rPr>
            </w:pPr>
            <w:r w:rsidRPr="00CD4FD4">
              <w:rPr>
                <w:sz w:val="22"/>
                <w:szCs w:val="22"/>
              </w:rPr>
              <w:t>N/A</w:t>
            </w:r>
            <w:r w:rsidR="001564A4" w:rsidRPr="00CD4FD4">
              <w:rPr>
                <w:sz w:val="22"/>
                <w:szCs w:val="22"/>
              </w:rPr>
              <w:br/>
            </w:r>
            <w:r w:rsidR="001564A4" w:rsidRPr="00CD4FD4">
              <w:rPr>
                <w:sz w:val="22"/>
                <w:szCs w:val="22"/>
              </w:rPr>
              <w:br/>
            </w:r>
            <w:r w:rsidR="001564A4" w:rsidRPr="00CD4FD4">
              <w:rPr>
                <w:sz w:val="22"/>
                <w:szCs w:val="22"/>
              </w:rPr>
              <w:br/>
            </w:r>
            <w:r w:rsidR="001564A4" w:rsidRPr="00CD4FD4">
              <w:rPr>
                <w:sz w:val="22"/>
                <w:szCs w:val="22"/>
              </w:rPr>
              <w:br/>
            </w:r>
            <w:r w:rsidR="001564A4" w:rsidRPr="00E9637F">
              <w:rPr>
                <w:sz w:val="22"/>
                <w:szCs w:val="22"/>
              </w:rPr>
              <w:br/>
            </w:r>
            <w:r w:rsidR="001564A4" w:rsidRPr="00E9637F">
              <w:rPr>
                <w:sz w:val="22"/>
                <w:szCs w:val="22"/>
              </w:rPr>
              <w:br/>
            </w:r>
            <w:r w:rsidR="001564A4" w:rsidRPr="00E9637F">
              <w:rPr>
                <w:sz w:val="22"/>
                <w:szCs w:val="22"/>
              </w:rPr>
              <w:br/>
            </w:r>
            <w:r w:rsidR="001564A4" w:rsidRPr="00E9637F">
              <w:rPr>
                <w:sz w:val="22"/>
                <w:szCs w:val="22"/>
              </w:rPr>
              <w:br/>
            </w:r>
            <w:r w:rsidR="001564A4" w:rsidRPr="00E9637F">
              <w:rPr>
                <w:sz w:val="22"/>
                <w:szCs w:val="22"/>
              </w:rPr>
              <w:br/>
            </w:r>
          </w:p>
          <w:p w14:paraId="731CD908" w14:textId="77777777" w:rsidR="001564A4" w:rsidRPr="00E9637F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E9637F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E9637F" w:rsidRDefault="001564A4" w:rsidP="000A28E2">
            <w:pPr>
              <w:pStyle w:val="Pa12"/>
              <w:rPr>
                <w:rStyle w:val="A4"/>
                <w:bCs/>
              </w:rPr>
            </w:pP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  <w:r w:rsidRPr="00E9637F">
              <w:rPr>
                <w:rStyle w:val="A4"/>
                <w:bCs/>
              </w:rPr>
              <w:br/>
            </w:r>
          </w:p>
          <w:p w14:paraId="14DC37E4" w14:textId="77777777" w:rsidR="001564A4" w:rsidRPr="00E9637F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E9637F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  <w:r w:rsidRPr="00E9637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E9637F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E9637F"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A793" w14:textId="77777777" w:rsidR="00B75F38" w:rsidRDefault="00B75F38" w:rsidP="000827CD">
      <w:r>
        <w:separator/>
      </w:r>
    </w:p>
  </w:endnote>
  <w:endnote w:type="continuationSeparator" w:id="0">
    <w:p w14:paraId="404197CF" w14:textId="77777777" w:rsidR="00B75F38" w:rsidRDefault="00B75F38" w:rsidP="0008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6C58" w14:textId="77777777" w:rsidR="00B75F38" w:rsidRDefault="00B75F38" w:rsidP="000827CD">
      <w:r>
        <w:separator/>
      </w:r>
    </w:p>
  </w:footnote>
  <w:footnote w:type="continuationSeparator" w:id="0">
    <w:p w14:paraId="73BE00A4" w14:textId="77777777" w:rsidR="00B75F38" w:rsidRDefault="00B75F38" w:rsidP="0008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2D53" w14:textId="3D034292" w:rsidR="000827CD" w:rsidRDefault="000827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DB507" wp14:editId="1E89DA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334908919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D2C66" w14:textId="6F3D3020" w:rsidR="000827CD" w:rsidRPr="000827CD" w:rsidRDefault="000827CD" w:rsidP="000827CD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0827CD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DB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1D2C66" w14:textId="6F3D3020" w:rsidR="000827CD" w:rsidRPr="000827CD" w:rsidRDefault="000827CD" w:rsidP="000827CD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0827CD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68E1" w14:textId="3927C306" w:rsidR="000827CD" w:rsidRDefault="000827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19239" wp14:editId="1BB5BA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845989933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09B8" w14:textId="38BDC52A" w:rsidR="000827CD" w:rsidRPr="000827CD" w:rsidRDefault="000827CD" w:rsidP="000827CD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0827CD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92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16C09B8" w14:textId="38BDC52A" w:rsidR="000827CD" w:rsidRPr="000827CD" w:rsidRDefault="000827CD" w:rsidP="000827CD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0827CD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0A8"/>
    <w:multiLevelType w:val="hybridMultilevel"/>
    <w:tmpl w:val="197AA20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0CB4"/>
    <w:multiLevelType w:val="hybridMultilevel"/>
    <w:tmpl w:val="26503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76164">
    <w:abstractNumId w:val="0"/>
  </w:num>
  <w:num w:numId="2" w16cid:durableId="18070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04B5"/>
    <w:rsid w:val="0006588A"/>
    <w:rsid w:val="000746FC"/>
    <w:rsid w:val="000827CD"/>
    <w:rsid w:val="001564A4"/>
    <w:rsid w:val="00227223"/>
    <w:rsid w:val="00252774"/>
    <w:rsid w:val="003E4E39"/>
    <w:rsid w:val="005073FB"/>
    <w:rsid w:val="0051574E"/>
    <w:rsid w:val="005D4FCD"/>
    <w:rsid w:val="007678BC"/>
    <w:rsid w:val="008803FA"/>
    <w:rsid w:val="0099522F"/>
    <w:rsid w:val="00A81161"/>
    <w:rsid w:val="00B12E32"/>
    <w:rsid w:val="00B75F38"/>
    <w:rsid w:val="00BA2F15"/>
    <w:rsid w:val="00C673CD"/>
    <w:rsid w:val="00CD4FD4"/>
    <w:rsid w:val="00D972D4"/>
    <w:rsid w:val="00E0700F"/>
    <w:rsid w:val="00E17EF7"/>
    <w:rsid w:val="00E92E47"/>
    <w:rsid w:val="00E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4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47"/>
    <w:rPr>
      <w:rFonts w:ascii="Times New Roman" w:eastAsia="Times New Roman" w:hAnsi="Times New Roman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E92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E4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B5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2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4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3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http://schemas.microsoft.com/office/2006/metadata/properties"/>
    <ds:schemaRef ds:uri="cab52c9b-ab33-4221-8af9-54f8f2b86a8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c8a2b7b-0bee-4c48-b0a6-23db8982d3bc"/>
    <ds:schemaRef ds:uri="6911e96c-4cc4-42d5-8e43-f93924cf6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2023-10-20T01:54:00Z</dcterms:created>
  <dcterms:modified xsi:type="dcterms:W3CDTF">2023-10-20T01:54:00Z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326cc82d,13f64df7,382d3fbd</vt:lpwstr>
  </property>
  <property fmtid="{D5CDD505-2E9C-101B-9397-08002B2CF9AE}" pid="5" name="ClassificationContentMarkingHeaderFontProps">
    <vt:lpwstr>#eedc00,12,Calibri</vt:lpwstr>
  </property>
  <property fmtid="{D5CDD505-2E9C-101B-9397-08002B2CF9AE}" pid="6" name="ClassificationContentMarkingHeaderText">
    <vt:lpwstr>RMIT Classification: Trusted</vt:lpwstr>
  </property>
  <property fmtid="{D5CDD505-2E9C-101B-9397-08002B2CF9AE}" pid="7" name="MSIP_Label_8c3d088b-6243-4963-a2e2-8b321ab7f8fc_Enabled">
    <vt:lpwstr>true</vt:lpwstr>
  </property>
  <property fmtid="{D5CDD505-2E9C-101B-9397-08002B2CF9AE}" pid="8" name="MSIP_Label_8c3d088b-6243-4963-a2e2-8b321ab7f8fc_SetDate">
    <vt:lpwstr>2023-10-19T06:09:43Z</vt:lpwstr>
  </property>
  <property fmtid="{D5CDD505-2E9C-101B-9397-08002B2CF9AE}" pid="9" name="MSIP_Label_8c3d088b-6243-4963-a2e2-8b321ab7f8fc_Method">
    <vt:lpwstr>Standard</vt:lpwstr>
  </property>
  <property fmtid="{D5CDD505-2E9C-101B-9397-08002B2CF9AE}" pid="10" name="MSIP_Label_8c3d088b-6243-4963-a2e2-8b321ab7f8fc_Name">
    <vt:lpwstr>Trusted</vt:lpwstr>
  </property>
  <property fmtid="{D5CDD505-2E9C-101B-9397-08002B2CF9AE}" pid="11" name="MSIP_Label_8c3d088b-6243-4963-a2e2-8b321ab7f8fc_SiteId">
    <vt:lpwstr>d1323671-cdbe-4417-b4d4-bdb24b51316b</vt:lpwstr>
  </property>
  <property fmtid="{D5CDD505-2E9C-101B-9397-08002B2CF9AE}" pid="12" name="MSIP_Label_8c3d088b-6243-4963-a2e2-8b321ab7f8fc_ActionId">
    <vt:lpwstr>74b34002-fb55-4223-b155-03907ad34dd9</vt:lpwstr>
  </property>
  <property fmtid="{D5CDD505-2E9C-101B-9397-08002B2CF9AE}" pid="13" name="MSIP_Label_8c3d088b-6243-4963-a2e2-8b321ab7f8fc_ContentBits">
    <vt:lpwstr>1</vt:lpwstr>
  </property>
</Properties>
</file>