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CBF3B6C" w:rsidR="002B7FC8" w:rsidRPr="006F065C" w:rsidRDefault="006F065C" w:rsidP="006F065C">
            <w:pPr>
              <w:rPr>
                <w:rFonts w:ascii="Arial" w:hAnsi="Arial" w:cs="Arial"/>
                <w:b/>
              </w:rPr>
            </w:pPr>
            <w:r w:rsidRPr="00392E7F">
              <w:rPr>
                <w:rFonts w:ascii="Arial" w:hAnsi="Arial" w:cs="Arial"/>
                <w:b/>
              </w:rPr>
              <w:t>Understanding health literacy among young Aboriginal and Torres Strait Islander males in the Northern Territory</w:t>
            </w:r>
            <w:r>
              <w:rPr>
                <w:rFonts w:ascii="Arial" w:hAnsi="Arial" w:cs="Arial"/>
                <w:b/>
              </w:rPr>
              <w:t>, Australia</w:t>
            </w:r>
            <w:r w:rsidRPr="00392E7F">
              <w:rPr>
                <w:rFonts w:ascii="Arial" w:hAnsi="Arial" w:cs="Arial"/>
                <w:b/>
              </w:rPr>
              <w:t>: Implications for health promotion</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2A4FDAF2" w14:textId="77777777" w:rsidR="006F065C" w:rsidRDefault="006F065C" w:rsidP="006F065C">
            <w:pPr>
              <w:pStyle w:val="ListParagraph"/>
              <w:tabs>
                <w:tab w:val="left" w:pos="284"/>
              </w:tabs>
              <w:spacing w:before="120" w:after="120" w:line="240" w:lineRule="auto"/>
              <w:ind w:left="0"/>
              <w:jc w:val="both"/>
              <w:rPr>
                <w:rFonts w:ascii="Arial" w:hAnsi="Arial" w:cs="Arial"/>
                <w:sz w:val="22"/>
              </w:rPr>
            </w:pPr>
            <w:r w:rsidRPr="00392E7F">
              <w:rPr>
                <w:rFonts w:ascii="Arial" w:hAnsi="Arial" w:cs="Arial"/>
                <w:sz w:val="22"/>
              </w:rPr>
              <w:t xml:space="preserve">Health literacy and gender are seen as critical social determinants of health impacting on the lives of </w:t>
            </w:r>
            <w:r>
              <w:rPr>
                <w:rFonts w:ascii="Arial" w:hAnsi="Arial" w:cs="Arial"/>
                <w:sz w:val="22"/>
              </w:rPr>
              <w:t xml:space="preserve">Indigenous </w:t>
            </w:r>
            <w:r w:rsidRPr="00392E7F">
              <w:rPr>
                <w:rFonts w:ascii="Arial" w:hAnsi="Arial" w:cs="Arial"/>
                <w:sz w:val="22"/>
              </w:rPr>
              <w:t>people</w:t>
            </w:r>
            <w:r>
              <w:rPr>
                <w:rFonts w:ascii="Arial" w:hAnsi="Arial" w:cs="Arial"/>
                <w:sz w:val="22"/>
              </w:rPr>
              <w:t xml:space="preserve"> worldwide</w:t>
            </w:r>
            <w:r w:rsidRPr="00392E7F">
              <w:rPr>
                <w:rFonts w:ascii="Arial" w:hAnsi="Arial" w:cs="Arial"/>
                <w:sz w:val="22"/>
              </w:rPr>
              <w:t>. Yet</w:t>
            </w:r>
            <w:r>
              <w:rPr>
                <w:rFonts w:ascii="Arial" w:hAnsi="Arial" w:cs="Arial"/>
                <w:sz w:val="22"/>
              </w:rPr>
              <w:t>,</w:t>
            </w:r>
            <w:r w:rsidRPr="00392E7F">
              <w:rPr>
                <w:rFonts w:ascii="Arial" w:hAnsi="Arial" w:cs="Arial"/>
                <w:sz w:val="22"/>
              </w:rPr>
              <w:t xml:space="preserve"> very little is known about how these concepts shape the identities and life aspirations of young</w:t>
            </w:r>
            <w:r>
              <w:rPr>
                <w:rFonts w:ascii="Arial" w:hAnsi="Arial" w:cs="Arial"/>
                <w:sz w:val="22"/>
              </w:rPr>
              <w:t xml:space="preserve"> Indigenous men</w:t>
            </w:r>
            <w:r w:rsidRPr="00392E7F">
              <w:rPr>
                <w:rFonts w:ascii="Arial" w:hAnsi="Arial" w:cs="Arial"/>
                <w:sz w:val="22"/>
              </w:rPr>
              <w:t xml:space="preserve">. The aim of this </w:t>
            </w:r>
            <w:r>
              <w:rPr>
                <w:rFonts w:ascii="Arial" w:hAnsi="Arial" w:cs="Arial"/>
                <w:sz w:val="22"/>
              </w:rPr>
              <w:t>study was to explore</w:t>
            </w:r>
            <w:r w:rsidRPr="00392E7F">
              <w:rPr>
                <w:rFonts w:ascii="Arial" w:hAnsi="Arial" w:cs="Arial"/>
                <w:sz w:val="22"/>
              </w:rPr>
              <w:t xml:space="preserve"> the interplay between health literacy, gender </w:t>
            </w:r>
            <w:r>
              <w:rPr>
                <w:rFonts w:ascii="Arial" w:hAnsi="Arial" w:cs="Arial"/>
                <w:sz w:val="22"/>
              </w:rPr>
              <w:t xml:space="preserve">(specifically masculinities) </w:t>
            </w:r>
            <w:r w:rsidRPr="00392E7F">
              <w:rPr>
                <w:rFonts w:ascii="Arial" w:hAnsi="Arial" w:cs="Arial"/>
                <w:sz w:val="22"/>
              </w:rPr>
              <w:t>and cultural identity among young Aboriginal and Torres Strait Islander males living in the Northern Territory</w:t>
            </w:r>
            <w:r>
              <w:rPr>
                <w:rFonts w:ascii="Arial" w:hAnsi="Arial" w:cs="Arial"/>
                <w:sz w:val="22"/>
              </w:rPr>
              <w:t xml:space="preserve"> (NT), Australia</w:t>
            </w:r>
            <w:r w:rsidRPr="00392E7F">
              <w:rPr>
                <w:rFonts w:ascii="Arial" w:hAnsi="Arial" w:cs="Arial"/>
                <w:sz w:val="22"/>
              </w:rPr>
              <w:t>.</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16F0E7F0" w14:textId="29DF6663" w:rsidR="006F065C" w:rsidRPr="00392E7F" w:rsidRDefault="006F065C" w:rsidP="006F065C">
            <w:pPr>
              <w:pStyle w:val="ListParagraph"/>
              <w:tabs>
                <w:tab w:val="left" w:pos="284"/>
              </w:tabs>
              <w:spacing w:before="120" w:after="120" w:line="240" w:lineRule="auto"/>
              <w:ind w:left="0"/>
              <w:jc w:val="both"/>
              <w:rPr>
                <w:rFonts w:ascii="Arial" w:hAnsi="Arial" w:cs="Arial"/>
                <w:sz w:val="22"/>
              </w:rPr>
            </w:pPr>
            <w:r w:rsidRPr="00392E7F">
              <w:rPr>
                <w:rFonts w:ascii="Arial" w:hAnsi="Arial" w:cs="Arial"/>
                <w:sz w:val="22"/>
              </w:rPr>
              <w:t xml:space="preserve">This is a mixed-methods study involving a combination of </w:t>
            </w:r>
            <w:r>
              <w:rPr>
                <w:rFonts w:ascii="Arial" w:hAnsi="Arial" w:cs="Arial"/>
                <w:sz w:val="22"/>
              </w:rPr>
              <w:t xml:space="preserve">validated </w:t>
            </w:r>
            <w:r w:rsidRPr="00392E7F">
              <w:rPr>
                <w:rFonts w:ascii="Arial" w:hAnsi="Arial" w:cs="Arial"/>
                <w:sz w:val="22"/>
              </w:rPr>
              <w:t>surveys</w:t>
            </w:r>
            <w:r>
              <w:rPr>
                <w:rFonts w:ascii="Arial" w:hAnsi="Arial" w:cs="Arial"/>
                <w:sz w:val="22"/>
              </w:rPr>
              <w:t xml:space="preserve"> (Health Literacy Questionnaire; and the Information and Support for Health Actions Questionnaire)</w:t>
            </w:r>
            <w:r w:rsidRPr="00392E7F">
              <w:rPr>
                <w:rFonts w:ascii="Arial" w:hAnsi="Arial" w:cs="Arial"/>
                <w:sz w:val="22"/>
              </w:rPr>
              <w:t>, yarning sessions and photo</w:t>
            </w:r>
            <w:r>
              <w:rPr>
                <w:rFonts w:ascii="Arial" w:hAnsi="Arial" w:cs="Arial"/>
                <w:sz w:val="22"/>
              </w:rPr>
              <w:t>-</w:t>
            </w:r>
            <w:r w:rsidRPr="00392E7F">
              <w:rPr>
                <w:rFonts w:ascii="Arial" w:hAnsi="Arial" w:cs="Arial"/>
                <w:sz w:val="22"/>
              </w:rPr>
              <w:t>voice methods</w:t>
            </w:r>
            <w:r>
              <w:rPr>
                <w:rFonts w:ascii="Arial" w:hAnsi="Arial" w:cs="Arial"/>
                <w:sz w:val="22"/>
              </w:rPr>
              <w:t xml:space="preserve">. The qualitative components are consistent with decolonising methods frequently advocated in Indigenous research contexts. </w:t>
            </w:r>
            <w:r w:rsidRPr="00392E7F">
              <w:rPr>
                <w:rFonts w:ascii="Arial" w:hAnsi="Arial" w:cs="Arial"/>
                <w:sz w:val="22"/>
              </w:rPr>
              <w:t>Ethics approval was obtained through Charles Darwin University Hum</w:t>
            </w:r>
            <w:r>
              <w:rPr>
                <w:rFonts w:ascii="Arial" w:hAnsi="Arial" w:cs="Arial"/>
                <w:sz w:val="22"/>
              </w:rPr>
              <w:t>an Research Ethics Committee prior to commencement. The study involved</w:t>
            </w:r>
            <w:r w:rsidRPr="00392E7F">
              <w:rPr>
                <w:rFonts w:ascii="Arial" w:hAnsi="Arial" w:cs="Arial"/>
                <w:sz w:val="22"/>
              </w:rPr>
              <w:t xml:space="preserve"> </w:t>
            </w:r>
            <w:r>
              <w:rPr>
                <w:rFonts w:ascii="Arial" w:hAnsi="Arial" w:cs="Arial"/>
                <w:sz w:val="22"/>
              </w:rPr>
              <w:t xml:space="preserve">engaging </w:t>
            </w:r>
            <w:r w:rsidRPr="00392E7F">
              <w:rPr>
                <w:rFonts w:ascii="Arial" w:hAnsi="Arial" w:cs="Arial"/>
                <w:sz w:val="22"/>
              </w:rPr>
              <w:t xml:space="preserve">young Aboriginal and Torres Strait Islander males aged </w:t>
            </w:r>
            <w:r>
              <w:rPr>
                <w:rFonts w:ascii="Arial" w:hAnsi="Arial" w:cs="Arial"/>
                <w:sz w:val="22"/>
              </w:rPr>
              <w:t>14-25</w:t>
            </w:r>
            <w:r w:rsidRPr="00FD69D1">
              <w:rPr>
                <w:rFonts w:ascii="Arial" w:hAnsi="Arial" w:cs="Arial"/>
                <w:sz w:val="22"/>
              </w:rPr>
              <w:t xml:space="preserve"> </w:t>
            </w:r>
            <w:r>
              <w:rPr>
                <w:rFonts w:ascii="Arial" w:hAnsi="Arial" w:cs="Arial"/>
                <w:sz w:val="22"/>
              </w:rPr>
              <w:t>years. The fieldwork was</w:t>
            </w:r>
            <w:r w:rsidRPr="00392E7F">
              <w:rPr>
                <w:rFonts w:ascii="Arial" w:hAnsi="Arial" w:cs="Arial"/>
                <w:sz w:val="22"/>
              </w:rPr>
              <w:t xml:space="preserve"> undertaken within urban and remote </w:t>
            </w:r>
            <w:r>
              <w:rPr>
                <w:rFonts w:ascii="Arial" w:hAnsi="Arial" w:cs="Arial"/>
                <w:sz w:val="22"/>
              </w:rPr>
              <w:t xml:space="preserve">settings in the Top End of the NT.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bookmarkStart w:id="0" w:name="_GoBack"/>
            <w:bookmarkEnd w:id="0"/>
          </w:p>
          <w:p w14:paraId="5E5D1979" w14:textId="158B02B3" w:rsidR="004B7D91" w:rsidRPr="006F065C" w:rsidRDefault="006F065C" w:rsidP="00E36AD7">
            <w:pPr>
              <w:jc w:val="both"/>
              <w:rPr>
                <w:rFonts w:ascii="Arial" w:hAnsi="Arial" w:cs="Arial"/>
                <w:sz w:val="22"/>
                <w:szCs w:val="22"/>
              </w:rPr>
            </w:pPr>
            <w:r w:rsidRPr="006F065C">
              <w:rPr>
                <w:rFonts w:ascii="Arial" w:hAnsi="Arial" w:cs="Arial"/>
                <w:sz w:val="22"/>
                <w:szCs w:val="22"/>
              </w:rPr>
              <w:t xml:space="preserve">This multi-faceted research approach has provided an empirical baseline assessment about health literacy among young Aboriginal and Torres Strait Islander males in the NT. By working with key local stakeholders, this information can be used to strengthen programs and policies associated with health (e.g. health camps), sport and recreation (e.g. club-based wellbeing programs), education (e.g. young dad’s literacy programs), justice (e.g. diversionary programs), employment and community services contexts.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0A614673" w14:textId="45DEC6F8" w:rsidR="006F065C" w:rsidRPr="006F065C" w:rsidRDefault="006F065C" w:rsidP="006F065C">
            <w:pPr>
              <w:pStyle w:val="CommentText"/>
            </w:pPr>
            <w:r w:rsidRPr="006F065C">
              <w:rPr>
                <w:rFonts w:ascii="Arial" w:hAnsi="Arial" w:cs="Arial"/>
                <w:sz w:val="22"/>
                <w:szCs w:val="22"/>
              </w:rPr>
              <w:t xml:space="preserve">It is envisaged these research findings </w:t>
            </w:r>
            <w:r w:rsidRPr="006F065C">
              <w:rPr>
                <w:rFonts w:ascii="Arial" w:hAnsi="Arial" w:cs="Arial"/>
                <w:color w:val="000000" w:themeColor="text1"/>
                <w:sz w:val="22"/>
                <w:szCs w:val="22"/>
              </w:rPr>
              <w:t xml:space="preserve">will guide more culturally relevant and targeted health promotion efforts </w:t>
            </w:r>
            <w:r w:rsidRPr="006F065C">
              <w:rPr>
                <w:rFonts w:ascii="Arial" w:hAnsi="Arial" w:cs="Arial"/>
                <w:sz w:val="22"/>
                <w:szCs w:val="22"/>
              </w:rPr>
              <w:t xml:space="preserve">that address health inequities, improve health outcomes and strengthen health systems </w:t>
            </w:r>
            <w:r>
              <w:rPr>
                <w:rFonts w:ascii="Arial" w:hAnsi="Arial" w:cs="Arial"/>
                <w:sz w:val="22"/>
                <w:szCs w:val="22"/>
              </w:rPr>
              <w:t xml:space="preserve">that are more appropriately </w:t>
            </w:r>
            <w:r w:rsidRPr="006F065C">
              <w:rPr>
                <w:rFonts w:ascii="Arial" w:hAnsi="Arial" w:cs="Arial"/>
                <w:color w:val="000000" w:themeColor="text1"/>
                <w:sz w:val="22"/>
                <w:szCs w:val="22"/>
              </w:rPr>
              <w:t>tailored to the needs of young Aboriginal and Torres Strait Islander males in the NT. It is also suggested that these research findings will help to guide global discussions about addressing individual and environmental health literacy needs of Indigenous men. Such reforms will ultimately help to build health equity among this group.</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77E44989" w:rsidR="00DA7A71" w:rsidRPr="006F065C" w:rsidRDefault="006F065C" w:rsidP="00E36AD7">
            <w:pPr>
              <w:jc w:val="both"/>
              <w:rPr>
                <w:rFonts w:ascii="Arial" w:hAnsi="Arial" w:cs="Arial"/>
                <w:sz w:val="22"/>
                <w:szCs w:val="22"/>
              </w:rPr>
            </w:pPr>
            <w:r w:rsidRPr="006F065C">
              <w:rPr>
                <w:rFonts w:ascii="Arial" w:hAnsi="Arial" w:cs="Arial"/>
                <w:sz w:val="22"/>
                <w:szCs w:val="22"/>
              </w:rPr>
              <w:t>Men’s health, health literacy, Aboriginal and Torres Strait Islander, Indigenous, culture</w:t>
            </w:r>
            <w:r>
              <w:rPr>
                <w:rFonts w:ascii="Arial" w:hAnsi="Arial" w:cs="Arial"/>
                <w:sz w:val="22"/>
                <w:szCs w:val="22"/>
              </w:rPr>
              <w:t>, gender</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3DD3"/>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6F065C"/>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977FD111-53BA-44DA-9991-FE2154C6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6F065C"/>
    <w:pPr>
      <w:spacing w:after="200" w:line="276" w:lineRule="auto"/>
      <w:ind w:left="720"/>
      <w:contextualSpacing/>
    </w:pPr>
    <w:rPr>
      <w:rFonts w:ascii="Calibri" w:eastAsiaTheme="minorHAnsi" w:hAnsi="Calibri" w:cstheme="minorBidi"/>
      <w:szCs w:val="22"/>
      <w:lang w:val="en-AU"/>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6F065C"/>
    <w:rPr>
      <w:rFonts w:ascii="Calibri" w:eastAsiaTheme="minorHAnsi" w:hAnsi="Calibri" w:cstheme="minorBidi"/>
      <w:sz w:val="24"/>
      <w:szCs w:val="22"/>
      <w:lang w:val="en-AU" w:eastAsia="en-US"/>
    </w:rPr>
  </w:style>
  <w:style w:type="paragraph" w:styleId="CommentText">
    <w:name w:val="annotation text"/>
    <w:basedOn w:val="Normal"/>
    <w:link w:val="CommentTextChar"/>
    <w:uiPriority w:val="99"/>
    <w:unhideWhenUsed/>
    <w:rsid w:val="006F065C"/>
    <w:pPr>
      <w:spacing w:after="20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6F065C"/>
    <w:rPr>
      <w:rFonts w:asciiTheme="minorHAnsi" w:eastAsiaTheme="minorHAnsi" w:hAnsiTheme="minorHAnsi" w:cstheme="minorBidi"/>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schemas.microsoft.com/office/infopath/2007/PartnerControls"/>
    <ds:schemaRef ds:uri="6911e96c-4cc4-42d5-8e43-f93924cf6a05"/>
    <ds:schemaRef ds:uri="http://purl.org/dc/dcmitype/"/>
    <ds:schemaRef ds:uri="http://schemas.openxmlformats.org/package/2006/metadata/core-properties"/>
    <ds:schemaRef ds:uri="http://schemas.microsoft.com/office/2006/documentManagement/types"/>
    <ds:schemaRef ds:uri="http://purl.org/dc/terms/"/>
    <ds:schemaRef ds:uri="9c8a2b7b-0bee-4c48-b0a6-23db8982d3b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11CF86A-11E9-451E-9B9A-BE34354C2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2018-09-07T04:05:00Z</dcterms:created>
  <dcterms:modified xsi:type="dcterms:W3CDTF">2018-09-07T04:05:00Z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