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5C3D782" w:rsidR="001564A4" w:rsidRPr="0050053A" w:rsidRDefault="00D4119A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Intra-breath oscillometry </w:t>
            </w:r>
            <w:r w:rsidR="0093011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impedance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trajectories differ with wheeze status in preschool</w:t>
            </w:r>
            <w:r w:rsidR="0093011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ers</w:t>
            </w:r>
            <w:r w:rsidR="00FA310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  <w:r w:rsidR="00EB0A9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4314233" w:rsidR="001564A4" w:rsidRPr="00517A72" w:rsidRDefault="00517A72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Matthew D Wong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723826">
              <w:rPr>
                <w:rFonts w:ascii="Arial" w:hAnsi="Arial" w:cs="Arial"/>
                <w:sz w:val="22"/>
                <w:szCs w:val="22"/>
                <w:lang w:val="en-US" w:eastAsia="en-GB"/>
              </w:rPr>
              <w:t>Tamara Blake</w:t>
            </w:r>
            <w:r w:rsidR="0072382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723826">
              <w:rPr>
                <w:rFonts w:ascii="Arial" w:hAnsi="Arial" w:cs="Arial"/>
                <w:sz w:val="22"/>
                <w:szCs w:val="22"/>
                <w:lang w:val="en-US" w:eastAsia="en-GB"/>
              </w:rPr>
              <w:t>Syeda Farah Zahir</w:t>
            </w:r>
            <w:r w:rsidR="0072382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Sadasivam Suresh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2186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Zoltan Hantos</w:t>
            </w:r>
            <w:r w:rsidR="0072382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723826">
              <w:rPr>
                <w:rFonts w:ascii="Arial" w:hAnsi="Arial" w:cs="Arial"/>
                <w:sz w:val="22"/>
                <w:szCs w:val="22"/>
                <w:lang w:val="en-US" w:eastAsia="en-GB"/>
              </w:rPr>
              <w:t>Keith Grimwood</w:t>
            </w:r>
            <w:r w:rsidR="0072382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5,6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723826">
              <w:rPr>
                <w:rFonts w:ascii="Arial" w:hAnsi="Arial" w:cs="Arial"/>
                <w:sz w:val="22"/>
                <w:szCs w:val="22"/>
                <w:lang w:val="en-US" w:eastAsia="en-GB"/>
              </w:rPr>
              <w:t>Stephen B Lambert</w:t>
            </w:r>
            <w:r w:rsidR="0072382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7,8</w:t>
            </w:r>
            <w:r w:rsidR="00723826">
              <w:rPr>
                <w:rFonts w:ascii="Arial" w:hAnsi="Arial" w:cs="Arial"/>
                <w:sz w:val="22"/>
                <w:szCs w:val="22"/>
                <w:lang w:val="en-US" w:eastAsia="en-GB"/>
              </w:rPr>
              <w:t>, Robert S Ware</w:t>
            </w:r>
            <w:r w:rsidR="0072382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72382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Peter D Sly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5F979F5" w14:textId="2543C66B" w:rsidR="00517A72" w:rsidRPr="0050053A" w:rsidRDefault="001564A4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and Sleep Medicine, Queensland Children’s Hospital</w:t>
            </w:r>
            <w:r w:rsidR="0072382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Australia.</w:t>
            </w:r>
          </w:p>
          <w:p w14:paraId="3BD815D8" w14:textId="2775C699" w:rsidR="001564A4" w:rsidRDefault="001564A4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Child Health Research Centre, The University of Queensland, 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</w:t>
            </w:r>
          </w:p>
          <w:p w14:paraId="071B4C36" w14:textId="4118FF83" w:rsidR="00723826" w:rsidRDefault="00723826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3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Health Services Research, The University of Queensl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and, QLD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</w:t>
            </w:r>
          </w:p>
          <w:p w14:paraId="5AFAB9C5" w14:textId="71B4E6E3" w:rsidR="001564A4" w:rsidRDefault="00723826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2382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Anesthesiology and Intensive Therapy, Semmelweis University, Hungary</w:t>
            </w:r>
          </w:p>
          <w:p w14:paraId="00B5E429" w14:textId="53E2CB32" w:rsidR="00723826" w:rsidRDefault="00723826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5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 and Dentistry, and Menzies Health Institute Queensland, Griffith University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</w:p>
          <w:p w14:paraId="5CFEB6C9" w14:textId="46824B12" w:rsidR="00723826" w:rsidRDefault="00723826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Infectious Disease and Paediatrics, Gold Coast Health, 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180D5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0FA9DF1F" w14:textId="2A51ED8A" w:rsidR="00180D5E" w:rsidRDefault="00180D5E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7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University of Queensland Centre for Clinical Research, 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45ED36BF" w14:textId="062EEBA2" w:rsidR="00723826" w:rsidRPr="0050053A" w:rsidRDefault="00180D5E" w:rsidP="00180D5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8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National Centre for Immunisation Research and Surveillance, </w:t>
            </w:r>
            <w:r w:rsidR="003A2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</w:tc>
      </w:tr>
      <w:tr w:rsidR="001564A4" w:rsidRPr="0050053A" w14:paraId="6DAF615A" w14:textId="77777777" w:rsidTr="007D1538">
        <w:trPr>
          <w:trHeight w:hRule="exact" w:val="9817"/>
          <w:jc w:val="center"/>
        </w:trPr>
        <w:tc>
          <w:tcPr>
            <w:tcW w:w="8640" w:type="dxa"/>
            <w:shd w:val="clear" w:color="auto" w:fill="auto"/>
          </w:tcPr>
          <w:p w14:paraId="06F13DBE" w14:textId="452F3B64" w:rsidR="00517A72" w:rsidRPr="004B57A4" w:rsidRDefault="001564A4" w:rsidP="00517A72">
            <w:pPr>
              <w:pStyle w:val="Pa12"/>
              <w:rPr>
                <w:i/>
                <w:iCs/>
                <w:sz w:val="22"/>
                <w:szCs w:val="22"/>
                <w:lang w:val="en-AU"/>
              </w:rPr>
            </w:pPr>
            <w:r w:rsidRPr="004B57A4">
              <w:rPr>
                <w:rStyle w:val="A4"/>
                <w:b/>
                <w:bCs/>
              </w:rPr>
              <w:t xml:space="preserve">Introduction/Aim: 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Longitudinal </w:t>
            </w:r>
            <w:r w:rsidR="00932542">
              <w:rPr>
                <w:bCs/>
                <w:sz w:val="22"/>
                <w:szCs w:val="22"/>
                <w:lang w:val="en-AU"/>
              </w:rPr>
              <w:t>intra-breath oscillometry (IB-OSC)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 may distinguish abnormal lung function trajectories in </w:t>
            </w:r>
            <w:r w:rsidR="005F5007">
              <w:rPr>
                <w:bCs/>
                <w:sz w:val="22"/>
                <w:szCs w:val="22"/>
                <w:lang w:val="en-AU"/>
              </w:rPr>
              <w:t xml:space="preserve">preschool 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>children with a history of wheezing</w:t>
            </w:r>
            <w:r w:rsidR="00254BEB">
              <w:rPr>
                <w:bCs/>
                <w:sz w:val="22"/>
                <w:szCs w:val="22"/>
                <w:lang w:val="en-AU"/>
              </w:rPr>
              <w:t xml:space="preserve">. </w:t>
            </w:r>
          </w:p>
          <w:p w14:paraId="5029BAE6" w14:textId="12ED3463" w:rsidR="001564A4" w:rsidRPr="004B57A4" w:rsidRDefault="001564A4" w:rsidP="000A28E2">
            <w:pPr>
              <w:pStyle w:val="Pa12"/>
              <w:rPr>
                <w:rStyle w:val="A4"/>
                <w:bCs/>
              </w:rPr>
            </w:pPr>
            <w:r w:rsidRPr="004B57A4">
              <w:rPr>
                <w:rStyle w:val="A4"/>
                <w:b/>
                <w:bCs/>
              </w:rPr>
              <w:t xml:space="preserve">Methods: 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>Children</w:t>
            </w:r>
            <w:r w:rsidR="00932542">
              <w:rPr>
                <w:bCs/>
                <w:sz w:val="22"/>
                <w:szCs w:val="22"/>
                <w:lang w:val="en-AU"/>
              </w:rPr>
              <w:t xml:space="preserve"> 3-7 years old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 from a prospective, longitudinal</w:t>
            </w:r>
            <w:r w:rsidR="00932542">
              <w:rPr>
                <w:bCs/>
                <w:sz w:val="22"/>
                <w:szCs w:val="22"/>
                <w:lang w:val="en-AU"/>
              </w:rPr>
              <w:t>,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 community-based cohort performed annual IB-OSC using a single 10 Hz sinusoid while clinically asymptomatic. Linear mixed-effects models were developed to explore the effects of wheezing phenotypes, growth, and sex on seven IB-OSC outcome variables over time: resistance at end-expiration (ReE), resistance at end-inspiration (ReI), the tidal change in resistance </w:t>
            </w:r>
            <w:r w:rsidR="004B57A4" w:rsidRPr="004B57A4">
              <w:rPr>
                <w:sz w:val="22"/>
                <w:szCs w:val="22"/>
                <w:lang w:val="en-AU"/>
              </w:rPr>
              <w:t>(∆R=ReE-ReI), reactance at end-expiration (XeE), reactance at end-inspiration (XeI), the tidal change in reactance (∆X=XeE-XeI), and ∆X normalised by tidal volume (</w:t>
            </w:r>
            <w:bookmarkStart w:id="1" w:name="_Hlk127372426"/>
            <w:r w:rsidR="004B57A4" w:rsidRPr="004B57A4">
              <w:rPr>
                <w:sz w:val="22"/>
                <w:szCs w:val="22"/>
                <w:lang w:val="en-AU"/>
              </w:rPr>
              <w:t>∆X/V</w:t>
            </w:r>
            <w:r w:rsidR="004B57A4" w:rsidRPr="004B57A4">
              <w:rPr>
                <w:sz w:val="22"/>
                <w:szCs w:val="22"/>
                <w:vertAlign w:val="subscript"/>
                <w:lang w:val="en-AU"/>
              </w:rPr>
              <w:t>T</w:t>
            </w:r>
            <w:r w:rsidR="004B57A4" w:rsidRPr="004B57A4">
              <w:rPr>
                <w:sz w:val="22"/>
                <w:szCs w:val="22"/>
                <w:lang w:val="en-AU"/>
              </w:rPr>
              <w:t>)</w:t>
            </w:r>
            <w:bookmarkEnd w:id="1"/>
            <w:r w:rsidR="004B57A4" w:rsidRPr="004B57A4">
              <w:rPr>
                <w:sz w:val="22"/>
                <w:szCs w:val="22"/>
                <w:lang w:val="en-AU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XSpec="right" w:tblpY="-166"/>
              <w:tblOverlap w:val="never"/>
              <w:tblW w:w="56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987"/>
              <w:gridCol w:w="2835"/>
              <w:gridCol w:w="987"/>
              <w:gridCol w:w="31"/>
            </w:tblGrid>
            <w:tr w:rsidR="00D6308A" w:rsidRPr="00AA5AA9" w14:paraId="579756ED" w14:textId="77777777" w:rsidTr="00D6308A">
              <w:tc>
                <w:tcPr>
                  <w:tcW w:w="5686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3FBF35" w14:textId="77777777" w:rsidR="00D6308A" w:rsidRPr="00AA5AA9" w:rsidRDefault="00D6308A" w:rsidP="00D6308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A5AA9">
                    <w:rPr>
                      <w:rFonts w:ascii="Arial" w:hAnsi="Arial" w:cs="Arial"/>
                      <w:sz w:val="22"/>
                      <w:szCs w:val="22"/>
                    </w:rPr>
                    <w:t>Table 1. Association of height and wheezing history with intra-breath impedance (n=375 observations)</w:t>
                  </w:r>
                </w:p>
              </w:tc>
            </w:tr>
            <w:tr w:rsidR="00D6308A" w:rsidRPr="00AA5AA9" w14:paraId="082FB13D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3EEB9E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5EE42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4B62A094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</w:t>
                  </w:r>
                  <w:r w:rsidRPr="00AA5AA9">
                    <w:rPr>
                      <w:rFonts w:ascii="Arial" w:hAnsi="Arial" w:cs="Arial"/>
                    </w:rPr>
                    <w:t>ean difference (95%CI)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21B7186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  <w:i/>
                      <w:iCs/>
                    </w:rPr>
                    <w:t>p-</w:t>
                  </w:r>
                  <w:r w:rsidRPr="00AA5AA9">
                    <w:rPr>
                      <w:rFonts w:ascii="Arial" w:hAnsi="Arial" w:cs="Arial"/>
                    </w:rPr>
                    <w:t>value</w:t>
                  </w:r>
                </w:p>
              </w:tc>
            </w:tr>
            <w:tr w:rsidR="00D6308A" w:rsidRPr="00AA5AA9" w14:paraId="44F67707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AF1CC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vertAlign w:val="superscript"/>
                    </w:rPr>
                  </w:pPr>
                  <w:r w:rsidRPr="00AA5AA9">
                    <w:rPr>
                      <w:rFonts w:ascii="Arial" w:hAnsi="Arial" w:cs="Arial"/>
                    </w:rPr>
                    <w:t>ReE</w:t>
                  </w:r>
                  <w:r w:rsidRPr="00AA5AA9">
                    <w:rPr>
                      <w:rFonts w:ascii="Arial" w:hAnsi="Arial" w:cs="Arial"/>
                      <w:color w:val="000000"/>
                      <w:vertAlign w:val="superscript"/>
                    </w:rPr>
                    <w:t>†</w:t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0EF807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F20395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-0.088 (-0.100 to -0.076)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7244657E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&lt;0.001</w:t>
                  </w:r>
                </w:p>
              </w:tc>
            </w:tr>
            <w:tr w:rsidR="00D6308A" w:rsidRPr="00AA5AA9" w14:paraId="4ECEAAE8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E4122E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E3FBAF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3C3B62A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D43B69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+0.414 (-0.096 to +0.924)</w:t>
                  </w:r>
                </w:p>
                <w:p w14:paraId="39BFD116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+0.586 (-0.075 to +1.258)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0EC50ED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0.118</w:t>
                  </w:r>
                </w:p>
                <w:p w14:paraId="38D7EDE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0.088</w:t>
                  </w:r>
                </w:p>
              </w:tc>
            </w:tr>
            <w:tr w:rsidR="00D6308A" w:rsidRPr="00AA5AA9" w14:paraId="5E2BA6F4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97F6703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ReI</w:t>
                  </w:r>
                  <w:r w:rsidRPr="00AA5AA9">
                    <w:rPr>
                      <w:rFonts w:ascii="Arial" w:hAnsi="Arial" w:cs="Arial"/>
                      <w:color w:val="000000"/>
                      <w:vertAlign w:val="superscript"/>
                    </w:rPr>
                    <w:t>†</w:t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79FCB09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83CF62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-0.098 (-0.110 to -0.086)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45BC26DC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&lt;0.001</w:t>
                  </w:r>
                </w:p>
              </w:tc>
            </w:tr>
            <w:tr w:rsidR="00D6308A" w:rsidRPr="00AA5AA9" w14:paraId="40E7F2A7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BB0C119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ECA97B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502EC5E0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D69F55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+0.249 (-0.179 to +0.676)</w:t>
                  </w:r>
                </w:p>
                <w:p w14:paraId="54F5278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+0.412 (-0.140 to +0.965)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5BFB211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0.261</w:t>
                  </w:r>
                </w:p>
                <w:p w14:paraId="4C324E0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0.151</w:t>
                  </w:r>
                </w:p>
              </w:tc>
            </w:tr>
            <w:tr w:rsidR="00D6308A" w:rsidRPr="00AA5AA9" w14:paraId="243EA7CC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D54CC8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ΔR</w:t>
                  </w:r>
                  <w:r w:rsidRPr="00AA5AA9">
                    <w:rPr>
                      <w:rFonts w:ascii="Arial" w:hAnsi="Arial" w:cs="Arial"/>
                      <w:color w:val="000000"/>
                      <w:vertAlign w:val="superscript"/>
                    </w:rPr>
                    <w:t>†</w:t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374B6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954B1FE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+0.010 (+0.001 to +0.019)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013D359E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0.035</w:t>
                  </w:r>
                </w:p>
              </w:tc>
            </w:tr>
            <w:tr w:rsidR="00D6308A" w:rsidRPr="00AA5AA9" w14:paraId="4DD01FB9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2B7F5D6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5EBE9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6BC36124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1728AFA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+0.109 (-0.145 to +0.363)</w:t>
                  </w:r>
                </w:p>
                <w:p w14:paraId="624A7E0C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+0.179 (-0.147 to +0.506)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5ED27B6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0.405</w:t>
                  </w:r>
                </w:p>
                <w:p w14:paraId="4BD537F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0.288</w:t>
                  </w:r>
                </w:p>
              </w:tc>
            </w:tr>
            <w:tr w:rsidR="00D6308A" w:rsidRPr="00AA5AA9" w14:paraId="5A84E9FA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5DC9C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XeE</w:t>
                  </w:r>
                  <w:r w:rsidRPr="00AA5AA9">
                    <w:rPr>
                      <w:rFonts w:ascii="Arial" w:hAnsi="Arial" w:cs="Arial"/>
                      <w:color w:val="000000"/>
                      <w:vertAlign w:val="superscript"/>
                    </w:rPr>
                    <w:t>†</w:t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D11F13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460A23B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+0.034 (+0.024 to +0.044)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5A3C6894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&lt;0.001</w:t>
                  </w:r>
                </w:p>
              </w:tc>
            </w:tr>
            <w:tr w:rsidR="00D6308A" w:rsidRPr="00AA5AA9" w14:paraId="50DF43FD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811117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1D7961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46A5A900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C514B2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-0.245 (-0.580 to +0.090)</w:t>
                  </w:r>
                </w:p>
                <w:p w14:paraId="35BC1192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-0.669 (-1.102 to -0.237)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0AFAED0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0.159</w:t>
                  </w:r>
                </w:p>
                <w:p w14:paraId="5764CB7C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0.004</w:t>
                  </w:r>
                </w:p>
              </w:tc>
            </w:tr>
            <w:tr w:rsidR="00D6308A" w:rsidRPr="00AA5AA9" w14:paraId="62CD3D8E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04028FD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XeI</w:t>
                  </w:r>
                  <w:r w:rsidRPr="00AA5AA9">
                    <w:rPr>
                      <w:rFonts w:ascii="Arial" w:hAnsi="Arial" w:cs="Arial"/>
                      <w:color w:val="000000"/>
                      <w:vertAlign w:val="superscript"/>
                    </w:rPr>
                    <w:t>†</w:t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7130D9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96BE4DA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+0.050 (+0.041 to +0.059)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0B3747E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&lt;0.001</w:t>
                  </w:r>
                </w:p>
              </w:tc>
            </w:tr>
            <w:tr w:rsidR="00D6308A" w:rsidRPr="00AA5AA9" w14:paraId="4336C9DF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BF60FA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6F8425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1D15F69F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vertAlign w:val="superscript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EA304A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-0.006 (-0.248 to +0.236)</w:t>
                  </w:r>
                </w:p>
                <w:p w14:paraId="7EF590A4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-0.222 (-0.534 to +0.090)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2DBAE30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0.962</w:t>
                  </w:r>
                </w:p>
                <w:p w14:paraId="75A482B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0.170</w:t>
                  </w:r>
                </w:p>
              </w:tc>
            </w:tr>
            <w:tr w:rsidR="00D6308A" w:rsidRPr="00AA5AA9" w14:paraId="3F0793BC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7EB365F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ΔX</w:t>
                  </w:r>
                  <w:r w:rsidRPr="00AA5AA9">
                    <w:rPr>
                      <w:rFonts w:ascii="Arial" w:hAnsi="Arial" w:cs="Arial"/>
                      <w:color w:val="000000"/>
                      <w:vertAlign w:val="superscript"/>
                    </w:rPr>
                    <w:t>†</w:t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91A37F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F39EF7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-0.011 (-0.021 to 0.000)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2CA48824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0.046</w:t>
                  </w:r>
                </w:p>
              </w:tc>
            </w:tr>
            <w:tr w:rsidR="00D6308A" w:rsidRPr="00AA5AA9" w14:paraId="267E39FA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0BB782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FD3660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571BE24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vertAlign w:val="superscript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3C4C31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-0.329 (-0.569 to -0.089)</w:t>
                  </w:r>
                </w:p>
                <w:p w14:paraId="0E7D288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-0.465 (-0.772 to -0.159)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72881DA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0.009</w:t>
                  </w:r>
                </w:p>
                <w:p w14:paraId="6AE6775E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0.004</w:t>
                  </w:r>
                </w:p>
              </w:tc>
            </w:tr>
            <w:tr w:rsidR="00D6308A" w:rsidRPr="00AA5AA9" w14:paraId="3336A9E3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382E3CA" w14:textId="77777777" w:rsidR="00D6308A" w:rsidRPr="00AA5AA9" w:rsidRDefault="00D6308A" w:rsidP="00D6308A">
                  <w:pPr>
                    <w:ind w:right="5027"/>
                    <w:jc w:val="both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AA5AA9">
                    <w:rPr>
                      <w:rFonts w:ascii="Arial" w:hAnsi="Arial" w:cs="Arial"/>
                      <w:noProof/>
                      <w:sz w:val="22"/>
                      <w:szCs w:val="22"/>
                      <w:vertAlign w:val="superscript"/>
                    </w:rPr>
                    <w:drawing>
                      <wp:anchor distT="0" distB="0" distL="114300" distR="114300" simplePos="0" relativeHeight="251669504" behindDoc="0" locked="0" layoutInCell="1" allowOverlap="1" wp14:anchorId="70AAE0E8" wp14:editId="6683090F">
                        <wp:simplePos x="0" y="0"/>
                        <wp:positionH relativeFrom="column">
                          <wp:posOffset>245829</wp:posOffset>
                        </wp:positionH>
                        <wp:positionV relativeFrom="paragraph">
                          <wp:posOffset>26670</wp:posOffset>
                        </wp:positionV>
                        <wp:extent cx="114300" cy="161925"/>
                        <wp:effectExtent l="0" t="0" r="0" b="9525"/>
                        <wp:wrapNone/>
                        <wp:docPr id="424940156" name="Picture 4249401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4295178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A5AA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BFF6A20" wp14:editId="20973A20">
                        <wp:extent cx="250166" cy="500330"/>
                        <wp:effectExtent l="0" t="0" r="0" b="0"/>
                        <wp:docPr id="2068994456" name="Picture 20689944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070860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577" cy="511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69B085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Ht (cm)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4A5CCFC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+0.078 (+0.050 to +0.107)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14:paraId="17B5C44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&lt;0.001</w:t>
                  </w:r>
                </w:p>
              </w:tc>
            </w:tr>
            <w:tr w:rsidR="00D6308A" w:rsidRPr="00AA5AA9" w14:paraId="38BBDDF5" w14:textId="77777777" w:rsidTr="00D6308A">
              <w:trPr>
                <w:gridAfter w:val="1"/>
                <w:wAfter w:w="31" w:type="dxa"/>
              </w:trPr>
              <w:tc>
                <w:tcPr>
                  <w:tcW w:w="846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202CC0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4619FF0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TW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  <w:r w:rsidRPr="00AA5AA9">
                    <w:rPr>
                      <w:rFonts w:ascii="Arial" w:hAnsi="Arial" w:cs="Arial"/>
                    </w:rPr>
                    <w:t xml:space="preserve"> </w:t>
                  </w:r>
                </w:p>
                <w:p w14:paraId="00417A08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vertAlign w:val="superscript"/>
                    </w:rPr>
                  </w:pPr>
                  <w:r w:rsidRPr="00AA5AA9">
                    <w:rPr>
                      <w:rFonts w:ascii="Arial" w:hAnsi="Arial" w:cs="Arial"/>
                    </w:rPr>
                    <w:t>PW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AA5AA9">
                    <w:rPr>
                      <w:rFonts w:ascii="Arial" w:hAnsi="Arial" w:cs="Arial"/>
                      <w:vertAlign w:val="superscript"/>
                    </w:rPr>
                    <w:t>§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F32F17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+0.484 (-0.250 to +1.216)</w:t>
                  </w:r>
                </w:p>
                <w:p w14:paraId="0E626951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+1.433 (+0.492 to +2.374)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6EEFC3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</w:rPr>
                  </w:pPr>
                  <w:r w:rsidRPr="00AA5AA9">
                    <w:rPr>
                      <w:rFonts w:ascii="Arial" w:hAnsi="Arial" w:cs="Arial"/>
                    </w:rPr>
                    <w:t>0.203</w:t>
                  </w:r>
                </w:p>
                <w:p w14:paraId="6AF0F38A" w14:textId="77777777" w:rsidR="00D6308A" w:rsidRPr="00AA5AA9" w:rsidRDefault="00D6308A" w:rsidP="00D6308A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AA5AA9">
                    <w:rPr>
                      <w:rFonts w:ascii="Arial" w:hAnsi="Arial" w:cs="Arial"/>
                      <w:b/>
                      <w:bCs/>
                    </w:rPr>
                    <w:t>0.004</w:t>
                  </w:r>
                </w:p>
              </w:tc>
            </w:tr>
            <w:tr w:rsidR="00D6308A" w:rsidRPr="00AA5AA9" w14:paraId="78E47D61" w14:textId="77777777" w:rsidTr="00D6308A">
              <w:tc>
                <w:tcPr>
                  <w:tcW w:w="5686" w:type="dxa"/>
                  <w:gridSpan w:val="5"/>
                  <w:shd w:val="clear" w:color="auto" w:fill="auto"/>
                </w:tcPr>
                <w:p w14:paraId="1A3EDE57" w14:textId="77777777" w:rsidR="00D6308A" w:rsidRPr="007D1538" w:rsidRDefault="00D6308A" w:rsidP="00D6308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D1538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 xml:space="preserve">† 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</w:rPr>
                    <w:t>hPa∙s∙L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</w:rPr>
                    <w:t xml:space="preserve">; 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‡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</w:rPr>
                    <w:t xml:space="preserve"> hPa∙s∙L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-2</w:t>
                  </w:r>
                  <w:r w:rsidRPr="007D1538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  <w:r w:rsidRPr="007D153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D1538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§</w:t>
                  </w:r>
                  <w:r w:rsidRPr="007D153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Reference category is never wheezed group; Ht, height; PWz, persistent wheeze; TWz, transient wheeze.</w:t>
                  </w:r>
                </w:p>
              </w:tc>
            </w:tr>
          </w:tbl>
          <w:p w14:paraId="68537800" w14:textId="08E7A6C0" w:rsidR="001564A4" w:rsidRPr="004B57A4" w:rsidRDefault="001564A4" w:rsidP="000A28E2">
            <w:pPr>
              <w:pStyle w:val="Pa12"/>
              <w:rPr>
                <w:rStyle w:val="A4"/>
                <w:color w:val="auto"/>
                <w:lang w:val="en-AU"/>
              </w:rPr>
            </w:pPr>
            <w:r w:rsidRPr="004B57A4">
              <w:rPr>
                <w:rStyle w:val="A4"/>
                <w:b/>
                <w:bCs/>
              </w:rPr>
              <w:t xml:space="preserve">Results: </w:t>
            </w:r>
            <w:r w:rsidR="00D23404">
              <w:rPr>
                <w:bCs/>
                <w:sz w:val="22"/>
                <w:szCs w:val="22"/>
                <w:lang w:val="en-AU"/>
              </w:rPr>
              <w:t>85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 children produced 375 acceptable IB-OSC measurements</w:t>
            </w:r>
            <w:r w:rsidR="001E7C54">
              <w:rPr>
                <w:bCs/>
                <w:sz w:val="22"/>
                <w:szCs w:val="22"/>
                <w:lang w:val="en-AU"/>
              </w:rPr>
              <w:t xml:space="preserve"> and </w:t>
            </w:r>
            <w:r w:rsidR="00435D42">
              <w:rPr>
                <w:bCs/>
                <w:sz w:val="22"/>
                <w:szCs w:val="22"/>
                <w:lang w:val="en-AU"/>
              </w:rPr>
              <w:t xml:space="preserve">were </w:t>
            </w:r>
            <w:r w:rsidR="00EC07DE">
              <w:rPr>
                <w:sz w:val="22"/>
                <w:szCs w:val="22"/>
                <w:lang w:val="en-AU"/>
              </w:rPr>
              <w:t>categorised into three wheeze groups: never</w:t>
            </w:r>
            <w:r w:rsidR="001E7C54">
              <w:rPr>
                <w:sz w:val="22"/>
                <w:szCs w:val="22"/>
                <w:lang w:val="en-AU"/>
              </w:rPr>
              <w:t xml:space="preserve"> </w:t>
            </w:r>
            <w:r w:rsidR="004B57A4" w:rsidRPr="004B57A4">
              <w:rPr>
                <w:sz w:val="22"/>
                <w:szCs w:val="22"/>
                <w:lang w:val="en-AU"/>
              </w:rPr>
              <w:t xml:space="preserve">(n=36), transient (n=35), or persistent (n=14). </w:t>
            </w:r>
            <w:r w:rsidR="005F5007">
              <w:rPr>
                <w:sz w:val="22"/>
                <w:szCs w:val="22"/>
                <w:lang w:val="en-AU"/>
              </w:rPr>
              <w:t>After a</w:t>
            </w:r>
            <w:r w:rsidR="007F62F2">
              <w:rPr>
                <w:bCs/>
                <w:sz w:val="22"/>
                <w:szCs w:val="22"/>
                <w:lang w:val="en-AU"/>
              </w:rPr>
              <w:t xml:space="preserve">djusting for </w:t>
            </w:r>
            <w:r w:rsidR="00E1330E">
              <w:rPr>
                <w:bCs/>
                <w:sz w:val="22"/>
                <w:szCs w:val="22"/>
                <w:lang w:val="en-AU"/>
              </w:rPr>
              <w:t>height,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 children with persistent wheezing</w:t>
            </w:r>
            <w:r w:rsidR="000637F7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had </w:t>
            </w:r>
            <w:r w:rsidR="0027674F">
              <w:rPr>
                <w:bCs/>
                <w:sz w:val="22"/>
                <w:szCs w:val="22"/>
                <w:lang w:val="en-AU"/>
              </w:rPr>
              <w:t>worse</w:t>
            </w:r>
            <w:r w:rsidR="00E1330E">
              <w:rPr>
                <w:bCs/>
                <w:sz w:val="22"/>
                <w:szCs w:val="22"/>
                <w:lang w:val="en-AU"/>
              </w:rPr>
              <w:t xml:space="preserve">ning </w:t>
            </w:r>
            <w:r w:rsidR="00DF3A76">
              <w:rPr>
                <w:bCs/>
                <w:sz w:val="22"/>
                <w:szCs w:val="22"/>
                <w:lang w:val="en-AU"/>
              </w:rPr>
              <w:t>trajectories</w:t>
            </w:r>
            <w:r w:rsidR="00E1330E">
              <w:rPr>
                <w:bCs/>
                <w:sz w:val="22"/>
                <w:szCs w:val="22"/>
                <w:lang w:val="en-AU"/>
              </w:rPr>
              <w:t xml:space="preserve"> for </w:t>
            </w:r>
            <w:r w:rsidR="0027674F">
              <w:rPr>
                <w:bCs/>
                <w:sz w:val="22"/>
                <w:szCs w:val="22"/>
                <w:lang w:val="en-AU"/>
              </w:rPr>
              <w:t>XeE</w:t>
            </w:r>
            <w:r w:rsidR="007D0B44">
              <w:rPr>
                <w:bCs/>
                <w:sz w:val="22"/>
                <w:szCs w:val="22"/>
                <w:lang w:val="en-AU"/>
              </w:rPr>
              <w:t>,</w:t>
            </w:r>
            <w:r w:rsidR="0027674F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27674F" w:rsidRPr="004B57A4">
              <w:rPr>
                <w:sz w:val="22"/>
                <w:szCs w:val="22"/>
                <w:lang w:val="en-AU"/>
              </w:rPr>
              <w:t>∆X</w:t>
            </w:r>
            <w:r w:rsidR="007D0B44">
              <w:rPr>
                <w:sz w:val="22"/>
                <w:szCs w:val="22"/>
                <w:lang w:val="en-AU"/>
              </w:rPr>
              <w:t>,</w:t>
            </w:r>
            <w:r w:rsidR="004B57A4" w:rsidRPr="004B57A4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4B57A4" w:rsidRPr="004B57A4">
              <w:rPr>
                <w:sz w:val="22"/>
                <w:szCs w:val="22"/>
                <w:lang w:val="en-AU"/>
              </w:rPr>
              <w:t xml:space="preserve">and </w:t>
            </w:r>
            <w:r w:rsidR="00E1330E" w:rsidRPr="004B57A4">
              <w:rPr>
                <w:sz w:val="22"/>
                <w:szCs w:val="22"/>
                <w:lang w:val="en-AU"/>
              </w:rPr>
              <w:t>∆X/V</w:t>
            </w:r>
            <w:r w:rsidR="00E1330E" w:rsidRPr="004B57A4">
              <w:rPr>
                <w:sz w:val="22"/>
                <w:szCs w:val="22"/>
                <w:vertAlign w:val="subscript"/>
                <w:lang w:val="en-AU"/>
              </w:rPr>
              <w:t>T</w:t>
            </w:r>
            <w:r w:rsidR="007D0B44">
              <w:rPr>
                <w:sz w:val="22"/>
                <w:szCs w:val="22"/>
                <w:lang w:val="en-AU"/>
              </w:rPr>
              <w:t xml:space="preserve"> (Table 1).</w:t>
            </w:r>
            <w:r w:rsidR="004B57A4" w:rsidRPr="004B57A4">
              <w:rPr>
                <w:sz w:val="22"/>
                <w:szCs w:val="22"/>
                <w:lang w:val="en-AU"/>
              </w:rPr>
              <w:t xml:space="preserve"> </w:t>
            </w:r>
            <w:r w:rsidR="00774819">
              <w:rPr>
                <w:sz w:val="22"/>
                <w:szCs w:val="22"/>
                <w:lang w:val="en-AU"/>
              </w:rPr>
              <w:t>Height,</w:t>
            </w:r>
            <w:r w:rsidR="004B57A4" w:rsidRPr="004B57A4">
              <w:rPr>
                <w:sz w:val="22"/>
                <w:szCs w:val="22"/>
                <w:lang w:val="en-AU"/>
              </w:rPr>
              <w:t xml:space="preserve"> </w:t>
            </w:r>
            <w:r w:rsidR="00D23404">
              <w:rPr>
                <w:sz w:val="22"/>
                <w:szCs w:val="22"/>
                <w:lang w:val="en-AU"/>
              </w:rPr>
              <w:t>but not sex</w:t>
            </w:r>
            <w:r w:rsidR="00EC07DE">
              <w:rPr>
                <w:sz w:val="22"/>
                <w:szCs w:val="22"/>
                <w:lang w:val="en-AU"/>
              </w:rPr>
              <w:t>,</w:t>
            </w:r>
            <w:r w:rsidR="00D23404">
              <w:rPr>
                <w:sz w:val="22"/>
                <w:szCs w:val="22"/>
                <w:lang w:val="en-AU"/>
              </w:rPr>
              <w:t xml:space="preserve"> </w:t>
            </w:r>
            <w:r w:rsidR="004B57A4" w:rsidRPr="004B57A4">
              <w:rPr>
                <w:sz w:val="22"/>
                <w:szCs w:val="22"/>
                <w:lang w:val="en-AU"/>
              </w:rPr>
              <w:t xml:space="preserve">had a significant effect on all </w:t>
            </w:r>
            <w:r w:rsidR="00774819">
              <w:rPr>
                <w:sz w:val="22"/>
                <w:szCs w:val="22"/>
                <w:lang w:val="en-AU"/>
              </w:rPr>
              <w:t xml:space="preserve">IB-OSC </w:t>
            </w:r>
            <w:r w:rsidR="004B57A4" w:rsidRPr="004B57A4">
              <w:rPr>
                <w:sz w:val="22"/>
                <w:szCs w:val="22"/>
                <w:lang w:val="en-AU"/>
              </w:rPr>
              <w:t>variables when adjusted for the effect of preschool wheezing.</w:t>
            </w:r>
            <w:r w:rsidR="005F5007">
              <w:rPr>
                <w:noProof/>
              </w:rPr>
              <w:t xml:space="preserve"> </w:t>
            </w:r>
          </w:p>
          <w:p w14:paraId="731CD908" w14:textId="69E85B7C" w:rsidR="001564A4" w:rsidRPr="004B57A4" w:rsidRDefault="001564A4" w:rsidP="007D1538">
            <w:pPr>
              <w:pStyle w:val="Pa12"/>
              <w:rPr>
                <w:sz w:val="22"/>
                <w:szCs w:val="22"/>
              </w:rPr>
            </w:pPr>
            <w:r w:rsidRPr="004B57A4">
              <w:rPr>
                <w:rStyle w:val="A4"/>
                <w:b/>
                <w:bCs/>
              </w:rPr>
              <w:t>Conclusion:</w:t>
            </w:r>
            <w:r w:rsidR="00EB0A95" w:rsidRPr="004B57A4">
              <w:rPr>
                <w:rFonts w:asciiTheme="minorHAnsi" w:eastAsia="MS Mincho" w:hAnsiTheme="minorHAnsi" w:cstheme="minorBidi"/>
                <w:sz w:val="22"/>
                <w:szCs w:val="22"/>
                <w:lang w:val="en-AU" w:eastAsia="en-US"/>
              </w:rPr>
              <w:t xml:space="preserve"> </w:t>
            </w:r>
            <w:r w:rsidR="004B57A4" w:rsidRPr="004B57A4">
              <w:rPr>
                <w:bCs/>
                <w:color w:val="000000"/>
                <w:sz w:val="22"/>
                <w:szCs w:val="22"/>
                <w:lang w:val="en-AU"/>
              </w:rPr>
              <w:t xml:space="preserve">IB-OSC </w:t>
            </w:r>
            <w:r w:rsidR="00930119">
              <w:rPr>
                <w:bCs/>
                <w:color w:val="000000"/>
                <w:sz w:val="22"/>
                <w:szCs w:val="22"/>
                <w:lang w:val="en-AU"/>
              </w:rPr>
              <w:t xml:space="preserve">reactance </w:t>
            </w:r>
            <w:r w:rsidR="004B57A4" w:rsidRPr="004B57A4">
              <w:rPr>
                <w:bCs/>
                <w:color w:val="000000"/>
                <w:sz w:val="22"/>
                <w:szCs w:val="22"/>
                <w:lang w:val="en-AU"/>
              </w:rPr>
              <w:t xml:space="preserve">outcomes may allow abnormal lung function to be identified early in asymptomatic children with a history of persistent </w:t>
            </w:r>
            <w:r w:rsidR="00290C2B">
              <w:rPr>
                <w:bCs/>
                <w:color w:val="000000"/>
                <w:sz w:val="22"/>
                <w:szCs w:val="22"/>
                <w:lang w:val="en-AU"/>
              </w:rPr>
              <w:t>wheezing</w:t>
            </w:r>
            <w:r w:rsidR="004B57A4" w:rsidRPr="004B57A4">
              <w:rPr>
                <w:bCs/>
                <w:color w:val="000000"/>
                <w:sz w:val="22"/>
                <w:szCs w:val="22"/>
                <w:lang w:val="en-AU"/>
              </w:rPr>
              <w:t>.</w:t>
            </w:r>
            <w:r w:rsidRPr="004B57A4">
              <w:rPr>
                <w:sz w:val="22"/>
                <w:szCs w:val="22"/>
              </w:rPr>
              <w:br/>
            </w:r>
            <w:r w:rsidRPr="004B57A4">
              <w:rPr>
                <w:rStyle w:val="A4"/>
                <w:b/>
                <w:bCs/>
              </w:rPr>
              <w:t xml:space="preserve">Grant Support: </w:t>
            </w:r>
            <w:r w:rsidR="005F5007" w:rsidRPr="005F5007">
              <w:rPr>
                <w:rStyle w:val="A4"/>
              </w:rPr>
              <w:t>NHMRC</w:t>
            </w:r>
            <w:r w:rsidR="00192115">
              <w:rPr>
                <w:rStyle w:val="A4"/>
              </w:rPr>
              <w:t>,</w:t>
            </w:r>
            <w:r w:rsidR="004B57A4">
              <w:rPr>
                <w:rStyle w:val="A4"/>
              </w:rPr>
              <w:t xml:space="preserve"> Hungarian Scientific Research Fund</w:t>
            </w:r>
            <w:r w:rsidR="00435626">
              <w:rPr>
                <w:rStyle w:val="A4"/>
              </w:rPr>
              <w:t>, and</w:t>
            </w:r>
            <w:r w:rsidR="004B57A4">
              <w:rPr>
                <w:rStyle w:val="A4"/>
              </w:rPr>
              <w:t xml:space="preserve"> </w:t>
            </w:r>
            <w:r w:rsidR="001D1D76">
              <w:rPr>
                <w:rStyle w:val="A4"/>
              </w:rPr>
              <w:t>ERS</w:t>
            </w:r>
            <w:r w:rsidR="004B57A4">
              <w:rPr>
                <w:rStyle w:val="A4"/>
              </w:rPr>
              <w:t xml:space="preserve"> Clinical Research Collaboration Award.</w:t>
            </w:r>
            <w:r w:rsidRPr="004B57A4">
              <w:rPr>
                <w:sz w:val="22"/>
                <w:szCs w:val="22"/>
              </w:rPr>
              <w:br/>
            </w:r>
            <w:r w:rsidR="009B25AA" w:rsidRPr="009B25AA">
              <w:rPr>
                <w:b/>
                <w:bCs/>
                <w:sz w:val="22"/>
                <w:szCs w:val="22"/>
              </w:rPr>
              <w:t>Key Words:</w:t>
            </w:r>
            <w:r w:rsidR="009B25AA">
              <w:rPr>
                <w:b/>
                <w:bCs/>
                <w:sz w:val="22"/>
                <w:szCs w:val="22"/>
              </w:rPr>
              <w:t xml:space="preserve"> </w:t>
            </w:r>
            <w:r w:rsidR="009B25AA" w:rsidRPr="009B25AA">
              <w:rPr>
                <w:sz w:val="22"/>
                <w:szCs w:val="22"/>
              </w:rPr>
              <w:t xml:space="preserve">children, </w:t>
            </w:r>
            <w:r w:rsidR="009B25AA">
              <w:rPr>
                <w:sz w:val="22"/>
                <w:szCs w:val="22"/>
              </w:rPr>
              <w:t>intra-breath, oscillometry, preschool, wheeze</w:t>
            </w:r>
            <w:r w:rsidR="007D1538">
              <w:rPr>
                <w:sz w:val="22"/>
                <w:szCs w:val="22"/>
              </w:rPr>
              <w:t>.</w:t>
            </w:r>
          </w:p>
          <w:p w14:paraId="34BF0A0F" w14:textId="77777777" w:rsidR="001564A4" w:rsidRPr="004B57A4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4B57A4" w:rsidRDefault="001564A4" w:rsidP="000A28E2">
            <w:pPr>
              <w:pStyle w:val="Pa12"/>
              <w:rPr>
                <w:rStyle w:val="A4"/>
                <w:bCs/>
              </w:rPr>
            </w:pP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  <w:r w:rsidRPr="004B57A4">
              <w:rPr>
                <w:rStyle w:val="A4"/>
                <w:bCs/>
              </w:rPr>
              <w:br/>
            </w:r>
          </w:p>
          <w:p w14:paraId="14DC37E4" w14:textId="77777777" w:rsidR="001564A4" w:rsidRPr="004B57A4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4B57A4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  <w:r w:rsidRPr="004B57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76FD"/>
    <w:rsid w:val="00041DC3"/>
    <w:rsid w:val="000637F7"/>
    <w:rsid w:val="001564A4"/>
    <w:rsid w:val="00180D5E"/>
    <w:rsid w:val="00190CFE"/>
    <w:rsid w:val="00192115"/>
    <w:rsid w:val="001B19C4"/>
    <w:rsid w:val="001D1D76"/>
    <w:rsid w:val="001E7C54"/>
    <w:rsid w:val="00254BEB"/>
    <w:rsid w:val="0027674F"/>
    <w:rsid w:val="00290C2B"/>
    <w:rsid w:val="00391048"/>
    <w:rsid w:val="00392AD8"/>
    <w:rsid w:val="003A297A"/>
    <w:rsid w:val="003A6B6F"/>
    <w:rsid w:val="00435626"/>
    <w:rsid w:val="00435D42"/>
    <w:rsid w:val="0049209F"/>
    <w:rsid w:val="004A54EE"/>
    <w:rsid w:val="004B2CE5"/>
    <w:rsid w:val="004B57A4"/>
    <w:rsid w:val="0051574E"/>
    <w:rsid w:val="00517A72"/>
    <w:rsid w:val="005F227D"/>
    <w:rsid w:val="005F5007"/>
    <w:rsid w:val="006E5B76"/>
    <w:rsid w:val="00723826"/>
    <w:rsid w:val="00774819"/>
    <w:rsid w:val="007A712A"/>
    <w:rsid w:val="007D0B44"/>
    <w:rsid w:val="007D1538"/>
    <w:rsid w:val="007F62F2"/>
    <w:rsid w:val="008803FA"/>
    <w:rsid w:val="008E6CE6"/>
    <w:rsid w:val="00930119"/>
    <w:rsid w:val="00932542"/>
    <w:rsid w:val="009A00D4"/>
    <w:rsid w:val="009B25AA"/>
    <w:rsid w:val="00A57EE1"/>
    <w:rsid w:val="00AA5AA9"/>
    <w:rsid w:val="00B12E32"/>
    <w:rsid w:val="00BB4A54"/>
    <w:rsid w:val="00CA0822"/>
    <w:rsid w:val="00CB774C"/>
    <w:rsid w:val="00CF2B34"/>
    <w:rsid w:val="00CF4380"/>
    <w:rsid w:val="00D23404"/>
    <w:rsid w:val="00D4119A"/>
    <w:rsid w:val="00D6308A"/>
    <w:rsid w:val="00DF3A76"/>
    <w:rsid w:val="00E0700F"/>
    <w:rsid w:val="00E1330E"/>
    <w:rsid w:val="00E21867"/>
    <w:rsid w:val="00E86431"/>
    <w:rsid w:val="00EB0A95"/>
    <w:rsid w:val="00EC07DE"/>
    <w:rsid w:val="00FA310B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8E6CE6"/>
    <w:rPr>
      <w:rFonts w:asciiTheme="minorHAnsi" w:hAnsiTheme="minorHAnsi"/>
      <w:kern w:val="2"/>
      <w:sz w:val="22"/>
      <w:szCs w:val="2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6CE6"/>
    <w:rPr>
      <w:rFonts w:asciiTheme="minorHAnsi" w:eastAsia="MS Mincho" w:hAnsiTheme="minorHAnsi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254BE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3017</Characters>
  <Application>Microsoft Office Word</Application>
  <DocSecurity>0</DocSecurity>
  <Lines>177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Matthew Wong</cp:lastModifiedBy>
  <cp:revision>10</cp:revision>
  <dcterms:created xsi:type="dcterms:W3CDTF">2023-10-17T09:26:00Z</dcterms:created>
  <dcterms:modified xsi:type="dcterms:W3CDTF">2023-10-17T09:33:00Z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2023-09-29T04:09:54Z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88f38dcc-e595-4af9-a5d0-f46bd510271a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GrammarlyDocumentId">
    <vt:lpwstr>bb4078b259edcbefec99660e615bdd038da70dafeb38cb9dc01475990c64310c</vt:lpwstr>
  </property>
</Properties>
</file>