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8"/>
      </w:tblGrid>
      <w:tr w:rsidR="00096274" w:rsidRPr="0050053A" w14:paraId="558923CC" w14:textId="77777777" w:rsidTr="00096274">
        <w:trPr>
          <w:trHeight w:val="1049"/>
          <w:jc w:val="center"/>
        </w:trPr>
        <w:tc>
          <w:tcPr>
            <w:tcW w:w="9528" w:type="dxa"/>
            <w:shd w:val="clear" w:color="auto" w:fill="auto"/>
          </w:tcPr>
          <w:p w14:paraId="3F55B18C" w14:textId="6D00474C" w:rsidR="00096274" w:rsidRPr="0050053A" w:rsidRDefault="00096274" w:rsidP="00A7663A">
            <w:pPr>
              <w:spacing w:before="120" w:after="120"/>
              <w:rPr>
                <w:rFonts w:ascii="Arial" w:hAnsi="Arial" w:cs="Arial"/>
                <w:b/>
                <w:lang w:val="en-US" w:eastAsia="zh-CN"/>
              </w:rPr>
            </w:pPr>
            <w:r w:rsidRPr="008E770D">
              <w:rPr>
                <w:rFonts w:ascii="Arial" w:hAnsi="Arial" w:cs="Arial"/>
                <w:b/>
                <w:bCs/>
                <w:color w:val="000000"/>
                <w:sz w:val="23"/>
                <w:szCs w:val="23"/>
              </w:rPr>
              <w:t xml:space="preserve">Oscillometry complements spirometry in detecting reversible </w:t>
            </w:r>
            <w:r>
              <w:rPr>
                <w:rFonts w:ascii="Arial" w:hAnsi="Arial" w:cs="Arial"/>
                <w:b/>
                <w:bCs/>
                <w:color w:val="000000"/>
                <w:sz w:val="23"/>
                <w:szCs w:val="23"/>
              </w:rPr>
              <w:t xml:space="preserve">asthmatic </w:t>
            </w:r>
            <w:r w:rsidRPr="008E770D">
              <w:rPr>
                <w:rFonts w:ascii="Arial" w:hAnsi="Arial" w:cs="Arial"/>
                <w:b/>
                <w:bCs/>
                <w:color w:val="000000"/>
                <w:sz w:val="23"/>
                <w:szCs w:val="23"/>
              </w:rPr>
              <w:t>airways obstruction</w:t>
            </w:r>
            <w:r>
              <w:rPr>
                <w:rFonts w:ascii="Arial" w:hAnsi="Arial" w:cs="Arial"/>
                <w:b/>
                <w:bCs/>
                <w:color w:val="000000"/>
                <w:sz w:val="23"/>
                <w:szCs w:val="23"/>
              </w:rPr>
              <w:t xml:space="preserve"> (</w:t>
            </w:r>
            <w:r w:rsidRPr="008E770D">
              <w:rPr>
                <w:rFonts w:ascii="Arial" w:hAnsi="Arial" w:cs="Arial"/>
                <w:b/>
                <w:bCs/>
                <w:color w:val="000000"/>
                <w:sz w:val="23"/>
                <w:szCs w:val="23"/>
              </w:rPr>
              <w:t>ATLANTIS</w:t>
            </w:r>
            <w:r>
              <w:rPr>
                <w:rFonts w:ascii="Arial" w:hAnsi="Arial" w:cs="Arial"/>
                <w:b/>
                <w:bCs/>
                <w:color w:val="000000"/>
                <w:sz w:val="23"/>
                <w:szCs w:val="23"/>
              </w:rPr>
              <w:t>)</w:t>
            </w:r>
          </w:p>
        </w:tc>
      </w:tr>
      <w:tr w:rsidR="00096274" w:rsidRPr="0050053A" w14:paraId="6FA1BE5A" w14:textId="77777777" w:rsidTr="00CE5227">
        <w:trPr>
          <w:trHeight w:val="1184"/>
          <w:jc w:val="center"/>
        </w:trPr>
        <w:tc>
          <w:tcPr>
            <w:tcW w:w="9528" w:type="dxa"/>
            <w:shd w:val="clear" w:color="auto" w:fill="auto"/>
          </w:tcPr>
          <w:p w14:paraId="092F1E15" w14:textId="1833A084" w:rsidR="00096274" w:rsidRPr="00413B94" w:rsidRDefault="00096274" w:rsidP="00A7663A">
            <w:pPr>
              <w:spacing w:before="120" w:after="120"/>
              <w:rPr>
                <w:rFonts w:ascii="Arial" w:hAnsi="Arial" w:cs="Arial"/>
                <w:u w:val="single"/>
                <w:lang w:eastAsia="zh-CN"/>
              </w:rPr>
            </w:pPr>
            <w:r w:rsidRPr="00054F3C">
              <w:rPr>
                <w:rFonts w:ascii="Arial" w:hAnsi="Arial" w:cs="Arial"/>
                <w:color w:val="000000"/>
              </w:rPr>
              <w:t>Dave Singh</w:t>
            </w:r>
            <w:r w:rsidRPr="00054F3C">
              <w:rPr>
                <w:rFonts w:ascii="Arial" w:hAnsi="Arial" w:cs="Arial"/>
                <w:color w:val="000000"/>
                <w:vertAlign w:val="superscript"/>
              </w:rPr>
              <w:t>1</w:t>
            </w:r>
            <w:r w:rsidRPr="00054F3C">
              <w:rPr>
                <w:rFonts w:ascii="Arial" w:hAnsi="Arial" w:cs="Arial"/>
                <w:color w:val="000000"/>
              </w:rPr>
              <w:t xml:space="preserve">, </w:t>
            </w:r>
            <w:r w:rsidRPr="00096274">
              <w:rPr>
                <w:rFonts w:ascii="Arial" w:hAnsi="Arial" w:cs="Arial"/>
                <w:color w:val="000000"/>
              </w:rPr>
              <w:t>Franz Clemeno</w:t>
            </w:r>
            <w:r w:rsidRPr="00096274">
              <w:rPr>
                <w:rFonts w:ascii="Arial" w:hAnsi="Arial" w:cs="Arial"/>
                <w:color w:val="000000"/>
                <w:vertAlign w:val="superscript"/>
              </w:rPr>
              <w:t>2</w:t>
            </w:r>
            <w:r w:rsidRPr="00096274">
              <w:rPr>
                <w:rFonts w:ascii="Arial" w:hAnsi="Arial" w:cs="Arial"/>
                <w:color w:val="000000"/>
              </w:rPr>
              <w:t xml:space="preserve">, </w:t>
            </w:r>
            <w:proofErr w:type="spellStart"/>
            <w:r w:rsidRPr="00096274">
              <w:rPr>
                <w:rFonts w:ascii="Arial" w:hAnsi="Arial" w:cs="Arial"/>
                <w:color w:val="000000"/>
              </w:rPr>
              <w:t>Janwillem</w:t>
            </w:r>
            <w:proofErr w:type="spellEnd"/>
            <w:r w:rsidRPr="00DB6A9D">
              <w:rPr>
                <w:rFonts w:ascii="Arial" w:hAnsi="Arial" w:cs="Arial"/>
                <w:color w:val="000000"/>
              </w:rPr>
              <w:t xml:space="preserve"> Kocks</w:t>
            </w:r>
            <w:r w:rsidRPr="00DB6A9D">
              <w:rPr>
                <w:rFonts w:ascii="Arial" w:hAnsi="Arial" w:cs="Arial"/>
                <w:color w:val="000000"/>
                <w:vertAlign w:val="superscript"/>
              </w:rPr>
              <w:t>3</w:t>
            </w:r>
            <w:r w:rsidRPr="00DB6A9D">
              <w:rPr>
                <w:rFonts w:ascii="Arial" w:hAnsi="Arial" w:cs="Arial"/>
                <w:color w:val="000000"/>
              </w:rPr>
              <w:t>, Leonardo</w:t>
            </w:r>
            <w:r w:rsidRPr="00054F3C">
              <w:rPr>
                <w:rFonts w:ascii="Arial" w:hAnsi="Arial" w:cs="Arial"/>
                <w:color w:val="000000"/>
              </w:rPr>
              <w:t xml:space="preserve"> Fabbri</w:t>
            </w:r>
            <w:r w:rsidRPr="00054F3C">
              <w:rPr>
                <w:rFonts w:ascii="Arial" w:hAnsi="Arial" w:cs="Arial"/>
                <w:color w:val="000000"/>
                <w:vertAlign w:val="superscript"/>
              </w:rPr>
              <w:t>4</w:t>
            </w:r>
            <w:r w:rsidRPr="00054F3C">
              <w:rPr>
                <w:rFonts w:ascii="Arial" w:hAnsi="Arial" w:cs="Arial"/>
                <w:color w:val="000000"/>
              </w:rPr>
              <w:t xml:space="preserve">, </w:t>
            </w:r>
            <w:r w:rsidRPr="00EB42D3">
              <w:rPr>
                <w:rFonts w:ascii="Arial" w:hAnsi="Arial" w:cs="Arial"/>
                <w:color w:val="000000"/>
              </w:rPr>
              <w:t>Monica Kraft</w:t>
            </w:r>
            <w:r w:rsidRPr="00EB42D3">
              <w:rPr>
                <w:rFonts w:ascii="Arial" w:hAnsi="Arial" w:cs="Arial"/>
                <w:color w:val="000000"/>
                <w:vertAlign w:val="superscript"/>
              </w:rPr>
              <w:t>5</w:t>
            </w:r>
            <w:r>
              <w:rPr>
                <w:rFonts w:ascii="Arial" w:hAnsi="Arial" w:cs="Arial"/>
                <w:color w:val="000000"/>
              </w:rPr>
              <w:t>, Alberto Papi</w:t>
            </w:r>
            <w:r w:rsidR="000A43D5">
              <w:rPr>
                <w:rFonts w:ascii="Arial" w:hAnsi="Arial" w:cs="Arial"/>
                <w:color w:val="000000"/>
                <w:vertAlign w:val="superscript"/>
              </w:rPr>
              <w:t>4</w:t>
            </w:r>
            <w:r>
              <w:rPr>
                <w:rFonts w:ascii="Arial" w:hAnsi="Arial" w:cs="Arial"/>
                <w:color w:val="000000"/>
              </w:rPr>
              <w:t xml:space="preserve">, </w:t>
            </w:r>
            <w:r w:rsidRPr="00357EEA">
              <w:rPr>
                <w:rFonts w:ascii="Arial" w:hAnsi="Arial" w:cs="Arial"/>
                <w:color w:val="000000"/>
              </w:rPr>
              <w:t>Klaus Rabe</w:t>
            </w:r>
            <w:r w:rsidR="000A43D5">
              <w:rPr>
                <w:rFonts w:ascii="Arial" w:hAnsi="Arial" w:cs="Arial"/>
                <w:color w:val="000000"/>
                <w:vertAlign w:val="superscript"/>
              </w:rPr>
              <w:t>6</w:t>
            </w:r>
            <w:r w:rsidRPr="00357EEA">
              <w:rPr>
                <w:rFonts w:ascii="Arial" w:hAnsi="Arial" w:cs="Arial"/>
                <w:color w:val="000000"/>
              </w:rPr>
              <w:t>,</w:t>
            </w:r>
            <w:r>
              <w:rPr>
                <w:rFonts w:ascii="Arial" w:hAnsi="Arial" w:cs="Arial"/>
                <w:color w:val="000000"/>
              </w:rPr>
              <w:t xml:space="preserve"> </w:t>
            </w:r>
            <w:r w:rsidRPr="00DB6A9D">
              <w:rPr>
                <w:rFonts w:ascii="Arial" w:hAnsi="Arial" w:cs="Arial"/>
                <w:color w:val="000000"/>
              </w:rPr>
              <w:t>Maarten Van Den Berge</w:t>
            </w:r>
            <w:r w:rsidR="000A43D5">
              <w:rPr>
                <w:rFonts w:ascii="Arial" w:hAnsi="Arial" w:cs="Arial"/>
                <w:color w:val="000000"/>
                <w:vertAlign w:val="superscript"/>
              </w:rPr>
              <w:t>7</w:t>
            </w:r>
            <w:r>
              <w:rPr>
                <w:rFonts w:ascii="Arial" w:hAnsi="Arial" w:cs="Arial"/>
                <w:color w:val="000000"/>
              </w:rPr>
              <w:t>, Maxim Kots</w:t>
            </w:r>
            <w:r w:rsidR="000A43D5">
              <w:rPr>
                <w:rFonts w:ascii="Arial" w:hAnsi="Arial" w:cs="Arial"/>
                <w:color w:val="000000"/>
                <w:vertAlign w:val="superscript"/>
              </w:rPr>
              <w:t>8</w:t>
            </w:r>
            <w:r>
              <w:rPr>
                <w:rFonts w:ascii="Arial" w:hAnsi="Arial" w:cs="Arial"/>
                <w:color w:val="000000"/>
              </w:rPr>
              <w:t xml:space="preserve"> </w:t>
            </w:r>
            <w:r w:rsidRPr="00357EEA">
              <w:rPr>
                <w:rFonts w:ascii="Arial" w:hAnsi="Arial" w:cs="Arial"/>
                <w:color w:val="000000"/>
              </w:rPr>
              <w:t>Christopher Brightling</w:t>
            </w:r>
            <w:r w:rsidR="000A43D5">
              <w:rPr>
                <w:rFonts w:ascii="Arial" w:hAnsi="Arial" w:cs="Arial"/>
                <w:color w:val="000000"/>
                <w:vertAlign w:val="superscript"/>
              </w:rPr>
              <w:t>9</w:t>
            </w:r>
            <w:r w:rsidRPr="00357EEA">
              <w:rPr>
                <w:rFonts w:ascii="Arial" w:hAnsi="Arial" w:cs="Arial"/>
                <w:color w:val="000000"/>
              </w:rPr>
              <w:t>, Salman Siddiqui</w:t>
            </w:r>
            <w:r w:rsidRPr="00357EEA">
              <w:rPr>
                <w:rFonts w:ascii="Arial" w:hAnsi="Arial" w:cs="Arial"/>
                <w:color w:val="000000"/>
                <w:vertAlign w:val="superscript"/>
              </w:rPr>
              <w:t>1</w:t>
            </w:r>
            <w:r w:rsidR="000A43D5">
              <w:rPr>
                <w:rFonts w:ascii="Arial" w:hAnsi="Arial" w:cs="Arial"/>
                <w:color w:val="000000"/>
                <w:vertAlign w:val="superscript"/>
              </w:rPr>
              <w:t>0</w:t>
            </w:r>
          </w:p>
        </w:tc>
      </w:tr>
      <w:tr w:rsidR="00096274" w:rsidRPr="0050053A" w14:paraId="7C1C2056" w14:textId="77777777" w:rsidTr="00096274">
        <w:trPr>
          <w:trHeight w:val="175"/>
          <w:jc w:val="center"/>
        </w:trPr>
        <w:tc>
          <w:tcPr>
            <w:tcW w:w="9528" w:type="dxa"/>
            <w:shd w:val="clear" w:color="auto" w:fill="auto"/>
          </w:tcPr>
          <w:p w14:paraId="4FDF1E52" w14:textId="79D549BC" w:rsidR="00096274" w:rsidRDefault="00096274" w:rsidP="00096274">
            <w:pPr>
              <w:autoSpaceDE w:val="0"/>
              <w:autoSpaceDN w:val="0"/>
              <w:adjustRightInd w:val="0"/>
              <w:spacing w:after="0" w:line="240" w:lineRule="auto"/>
              <w:rPr>
                <w:rFonts w:ascii="Arial" w:hAnsi="Arial" w:cs="Arial"/>
                <w:i/>
                <w:iCs/>
                <w:color w:val="000000"/>
              </w:rPr>
            </w:pPr>
            <w:r>
              <w:rPr>
                <w:rFonts w:ascii="Arial" w:hAnsi="Arial" w:cs="Arial"/>
                <w:i/>
                <w:iCs/>
                <w:color w:val="000000"/>
                <w:vertAlign w:val="superscript"/>
              </w:rPr>
              <w:t>1</w:t>
            </w:r>
            <w:r w:rsidRPr="004B1B24">
              <w:rPr>
                <w:rFonts w:ascii="Arial" w:hAnsi="Arial" w:cs="Arial"/>
                <w:i/>
                <w:iCs/>
                <w:color w:val="000000"/>
              </w:rPr>
              <w:t xml:space="preserve">Division of Infection, Immunity &amp; Respiratory Medicine, University of Manchester, Manchester University NHS Foundation Trust, United </w:t>
            </w:r>
            <w:proofErr w:type="gramStart"/>
            <w:r w:rsidRPr="004B1B24">
              <w:rPr>
                <w:rFonts w:ascii="Arial" w:hAnsi="Arial" w:cs="Arial"/>
                <w:i/>
                <w:iCs/>
                <w:color w:val="000000"/>
              </w:rPr>
              <w:t>Kingdom</w:t>
            </w:r>
            <w:r>
              <w:rPr>
                <w:rFonts w:ascii="Arial" w:hAnsi="Arial" w:cs="Arial"/>
                <w:i/>
                <w:iCs/>
                <w:color w:val="000000"/>
              </w:rPr>
              <w:t>;</w:t>
            </w:r>
            <w:proofErr w:type="gramEnd"/>
            <w:r w:rsidRPr="004B1B24">
              <w:rPr>
                <w:rFonts w:ascii="Arial" w:hAnsi="Arial" w:cs="Arial"/>
                <w:i/>
                <w:iCs/>
                <w:color w:val="000000"/>
              </w:rPr>
              <w:t xml:space="preserve"> </w:t>
            </w:r>
          </w:p>
          <w:p w14:paraId="3D9B21C1" w14:textId="067AAB0F" w:rsidR="00096274" w:rsidRPr="00054F3C" w:rsidRDefault="00096274" w:rsidP="00096274">
            <w:pPr>
              <w:autoSpaceDE w:val="0"/>
              <w:autoSpaceDN w:val="0"/>
              <w:adjustRightInd w:val="0"/>
              <w:spacing w:after="0" w:line="240" w:lineRule="auto"/>
              <w:rPr>
                <w:rFonts w:ascii="Arial" w:hAnsi="Arial" w:cs="Arial"/>
                <w:i/>
                <w:iCs/>
                <w:color w:val="000000"/>
              </w:rPr>
            </w:pPr>
            <w:r w:rsidRPr="00096274">
              <w:rPr>
                <w:rFonts w:ascii="Arial" w:hAnsi="Arial" w:cs="Arial"/>
                <w:i/>
                <w:iCs/>
                <w:color w:val="000000"/>
                <w:vertAlign w:val="superscript"/>
              </w:rPr>
              <w:t>2</w:t>
            </w:r>
            <w:r w:rsidRPr="00054F3C">
              <w:rPr>
                <w:rFonts w:ascii="Arial" w:hAnsi="Arial" w:cs="Arial"/>
                <w:i/>
                <w:iCs/>
                <w:color w:val="000000"/>
              </w:rPr>
              <w:t>Department of Infection, Immunity and Inflammation, University of Leicester, Leicester, United Kingdom</w:t>
            </w:r>
            <w:r>
              <w:rPr>
                <w:rFonts w:ascii="Arial" w:hAnsi="Arial" w:cs="Arial"/>
                <w:i/>
                <w:iCs/>
                <w:color w:val="000000"/>
              </w:rPr>
              <w:t>;</w:t>
            </w:r>
          </w:p>
          <w:p w14:paraId="036ACD85" w14:textId="2B01185F" w:rsidR="00096274" w:rsidRDefault="00096274" w:rsidP="00096274">
            <w:pPr>
              <w:autoSpaceDE w:val="0"/>
              <w:autoSpaceDN w:val="0"/>
              <w:adjustRightInd w:val="0"/>
              <w:spacing w:after="0" w:line="240" w:lineRule="auto"/>
              <w:rPr>
                <w:rFonts w:ascii="Arial" w:hAnsi="Arial" w:cs="Arial"/>
                <w:i/>
                <w:iCs/>
                <w:color w:val="000000"/>
              </w:rPr>
            </w:pPr>
            <w:r w:rsidRPr="00096274">
              <w:rPr>
                <w:rFonts w:ascii="Arial" w:hAnsi="Arial" w:cs="Arial"/>
                <w:i/>
                <w:iCs/>
                <w:color w:val="000000"/>
                <w:vertAlign w:val="superscript"/>
              </w:rPr>
              <w:t>3</w:t>
            </w:r>
            <w:r w:rsidRPr="008C32BA">
              <w:rPr>
                <w:rFonts w:ascii="Arial" w:hAnsi="Arial" w:cs="Arial"/>
                <w:i/>
                <w:iCs/>
                <w:color w:val="000000"/>
              </w:rPr>
              <w:t xml:space="preserve">General Practitioners Research Institute, Groningen, The Netherlands </w:t>
            </w:r>
          </w:p>
          <w:p w14:paraId="335B2A14" w14:textId="6410B7A5" w:rsidR="00096274" w:rsidRDefault="00096274" w:rsidP="00096274">
            <w:pPr>
              <w:autoSpaceDE w:val="0"/>
              <w:autoSpaceDN w:val="0"/>
              <w:adjustRightInd w:val="0"/>
              <w:spacing w:after="0" w:line="240" w:lineRule="auto"/>
              <w:rPr>
                <w:rFonts w:ascii="Arial" w:hAnsi="Arial" w:cs="Arial"/>
                <w:i/>
                <w:iCs/>
                <w:color w:val="000000"/>
              </w:rPr>
            </w:pPr>
            <w:r w:rsidRPr="00096274">
              <w:rPr>
                <w:rFonts w:ascii="Arial" w:hAnsi="Arial" w:cs="Arial"/>
                <w:i/>
                <w:iCs/>
                <w:color w:val="000000"/>
                <w:vertAlign w:val="superscript"/>
              </w:rPr>
              <w:t>4</w:t>
            </w:r>
            <w:r w:rsidRPr="00CA5DA1">
              <w:rPr>
                <w:rFonts w:ascii="Arial" w:hAnsi="Arial" w:cs="Arial"/>
                <w:i/>
                <w:iCs/>
                <w:color w:val="000000"/>
              </w:rPr>
              <w:t>Respiratory Medicine, Department of Translational Medicine and for Romagna, University of Ferrara, Italy</w:t>
            </w:r>
            <w:r>
              <w:rPr>
                <w:rFonts w:ascii="Arial" w:hAnsi="Arial" w:cs="Arial"/>
                <w:i/>
                <w:iCs/>
                <w:color w:val="000000"/>
              </w:rPr>
              <w:t>;</w:t>
            </w:r>
          </w:p>
          <w:p w14:paraId="38039A33" w14:textId="77777777" w:rsidR="005E0DEF" w:rsidRDefault="00096274" w:rsidP="00096274">
            <w:pPr>
              <w:autoSpaceDE w:val="0"/>
              <w:autoSpaceDN w:val="0"/>
              <w:adjustRightInd w:val="0"/>
              <w:spacing w:after="0" w:line="240" w:lineRule="auto"/>
              <w:rPr>
                <w:rFonts w:ascii="Arial" w:hAnsi="Arial" w:cs="Arial"/>
                <w:i/>
                <w:iCs/>
                <w:color w:val="000000"/>
              </w:rPr>
            </w:pPr>
            <w:r w:rsidRPr="00096274">
              <w:rPr>
                <w:rFonts w:ascii="Arial" w:hAnsi="Arial" w:cs="Arial"/>
                <w:i/>
                <w:iCs/>
                <w:color w:val="000000"/>
                <w:vertAlign w:val="superscript"/>
              </w:rPr>
              <w:t>5</w:t>
            </w:r>
            <w:r>
              <w:rPr>
                <w:rFonts w:ascii="Arial" w:hAnsi="Arial" w:cs="Arial"/>
                <w:i/>
                <w:iCs/>
                <w:color w:val="000000"/>
              </w:rPr>
              <w:t xml:space="preserve">Department of Medicine, College of Medicine </w:t>
            </w:r>
            <w:proofErr w:type="spellStart"/>
            <w:r>
              <w:rPr>
                <w:rFonts w:ascii="Arial" w:hAnsi="Arial" w:cs="Arial"/>
                <w:i/>
                <w:iCs/>
                <w:color w:val="000000"/>
              </w:rPr>
              <w:t>Tuscon</w:t>
            </w:r>
            <w:proofErr w:type="spellEnd"/>
            <w:r>
              <w:rPr>
                <w:rFonts w:ascii="Arial" w:hAnsi="Arial" w:cs="Arial"/>
                <w:i/>
                <w:iCs/>
                <w:color w:val="000000"/>
              </w:rPr>
              <w:t xml:space="preserve">, and Asthma and Airway Diseases; Research Centre, University of Arizona Health Sciences, </w:t>
            </w:r>
            <w:proofErr w:type="spellStart"/>
            <w:r>
              <w:rPr>
                <w:rFonts w:ascii="Arial" w:hAnsi="Arial" w:cs="Arial"/>
                <w:i/>
                <w:iCs/>
                <w:color w:val="000000"/>
              </w:rPr>
              <w:t>Tuscon</w:t>
            </w:r>
            <w:proofErr w:type="spellEnd"/>
            <w:r>
              <w:rPr>
                <w:rFonts w:ascii="Arial" w:hAnsi="Arial" w:cs="Arial"/>
                <w:i/>
                <w:iCs/>
                <w:color w:val="000000"/>
              </w:rPr>
              <w:t>, AZ, United States;</w:t>
            </w:r>
          </w:p>
          <w:p w14:paraId="3E0442EE" w14:textId="7D3F7469" w:rsidR="00096274" w:rsidRDefault="005E0DEF" w:rsidP="00096274">
            <w:pPr>
              <w:autoSpaceDE w:val="0"/>
              <w:autoSpaceDN w:val="0"/>
              <w:adjustRightInd w:val="0"/>
              <w:spacing w:after="0" w:line="240" w:lineRule="auto"/>
              <w:rPr>
                <w:rFonts w:ascii="Arial" w:hAnsi="Arial" w:cs="Arial"/>
                <w:i/>
                <w:iCs/>
                <w:color w:val="000000"/>
              </w:rPr>
            </w:pPr>
            <w:r>
              <w:rPr>
                <w:rFonts w:ascii="Arial" w:hAnsi="Arial" w:cs="Arial"/>
                <w:i/>
                <w:iCs/>
                <w:color w:val="000000"/>
                <w:vertAlign w:val="superscript"/>
              </w:rPr>
              <w:t>6</w:t>
            </w:r>
            <w:r w:rsidR="00096274" w:rsidRPr="008C32BA">
              <w:rPr>
                <w:rFonts w:ascii="Arial" w:hAnsi="Arial" w:cs="Arial"/>
                <w:i/>
                <w:iCs/>
                <w:color w:val="000000"/>
              </w:rPr>
              <w:t xml:space="preserve">LungenClinic </w:t>
            </w:r>
            <w:proofErr w:type="spellStart"/>
            <w:r w:rsidR="00096274" w:rsidRPr="008C32BA">
              <w:rPr>
                <w:rFonts w:ascii="Arial" w:hAnsi="Arial" w:cs="Arial"/>
                <w:i/>
                <w:iCs/>
                <w:color w:val="000000"/>
              </w:rPr>
              <w:t>Grosshansdorf</w:t>
            </w:r>
            <w:proofErr w:type="spellEnd"/>
            <w:r w:rsidR="00096274" w:rsidRPr="008C32BA">
              <w:rPr>
                <w:rFonts w:ascii="Arial" w:hAnsi="Arial" w:cs="Arial"/>
                <w:i/>
                <w:iCs/>
                <w:color w:val="000000"/>
              </w:rPr>
              <w:t xml:space="preserve"> and Department of Medicine, Christian </w:t>
            </w:r>
            <w:proofErr w:type="spellStart"/>
            <w:r w:rsidR="00096274" w:rsidRPr="008C32BA">
              <w:rPr>
                <w:rFonts w:ascii="Arial" w:hAnsi="Arial" w:cs="Arial"/>
                <w:i/>
                <w:iCs/>
                <w:color w:val="000000"/>
              </w:rPr>
              <w:t>Albrechts</w:t>
            </w:r>
            <w:proofErr w:type="spellEnd"/>
            <w:r w:rsidR="00096274" w:rsidRPr="008C32BA">
              <w:rPr>
                <w:rFonts w:ascii="Arial" w:hAnsi="Arial" w:cs="Arial"/>
                <w:i/>
                <w:iCs/>
                <w:color w:val="000000"/>
              </w:rPr>
              <w:t xml:space="preserve"> University, Member of the German </w:t>
            </w:r>
            <w:proofErr w:type="spellStart"/>
            <w:r w:rsidR="00096274" w:rsidRPr="008C32BA">
              <w:rPr>
                <w:rFonts w:ascii="Arial" w:hAnsi="Arial" w:cs="Arial"/>
                <w:i/>
                <w:iCs/>
                <w:color w:val="000000"/>
              </w:rPr>
              <w:t>Center</w:t>
            </w:r>
            <w:proofErr w:type="spellEnd"/>
            <w:r w:rsidR="00096274" w:rsidRPr="008C32BA">
              <w:rPr>
                <w:rFonts w:ascii="Arial" w:hAnsi="Arial" w:cs="Arial"/>
                <w:i/>
                <w:iCs/>
                <w:color w:val="000000"/>
              </w:rPr>
              <w:t xml:space="preserve"> for Lung Research (DZL), Kiel, Germany</w:t>
            </w:r>
            <w:r w:rsidR="00096274">
              <w:rPr>
                <w:rFonts w:ascii="Arial" w:hAnsi="Arial" w:cs="Arial"/>
                <w:i/>
                <w:iCs/>
                <w:color w:val="000000"/>
              </w:rPr>
              <w:t>;</w:t>
            </w:r>
          </w:p>
          <w:p w14:paraId="44887AB4" w14:textId="18CA13F4" w:rsidR="00096274" w:rsidRDefault="005E0DEF" w:rsidP="00096274">
            <w:pPr>
              <w:autoSpaceDE w:val="0"/>
              <w:autoSpaceDN w:val="0"/>
              <w:adjustRightInd w:val="0"/>
              <w:spacing w:after="0" w:line="240" w:lineRule="auto"/>
              <w:rPr>
                <w:rFonts w:ascii="Arial" w:hAnsi="Arial" w:cs="Arial"/>
                <w:i/>
                <w:iCs/>
                <w:color w:val="000000"/>
              </w:rPr>
            </w:pPr>
            <w:r w:rsidRPr="005E0DEF">
              <w:rPr>
                <w:rFonts w:ascii="Arial" w:hAnsi="Arial" w:cs="Arial"/>
                <w:i/>
                <w:iCs/>
                <w:color w:val="000000"/>
                <w:vertAlign w:val="superscript"/>
              </w:rPr>
              <w:t>7</w:t>
            </w:r>
            <w:r w:rsidR="00096274" w:rsidRPr="008C32BA">
              <w:rPr>
                <w:rFonts w:ascii="Arial" w:hAnsi="Arial" w:cs="Arial"/>
                <w:i/>
                <w:iCs/>
                <w:color w:val="000000"/>
              </w:rPr>
              <w:t xml:space="preserve">University of Groningen, University Medical </w:t>
            </w:r>
            <w:proofErr w:type="spellStart"/>
            <w:r w:rsidR="00096274" w:rsidRPr="008C32BA">
              <w:rPr>
                <w:rFonts w:ascii="Arial" w:hAnsi="Arial" w:cs="Arial"/>
                <w:i/>
                <w:iCs/>
                <w:color w:val="000000"/>
              </w:rPr>
              <w:t>Center</w:t>
            </w:r>
            <w:proofErr w:type="spellEnd"/>
            <w:r w:rsidR="00096274" w:rsidRPr="008C32BA">
              <w:rPr>
                <w:rFonts w:ascii="Arial" w:hAnsi="Arial" w:cs="Arial"/>
                <w:i/>
                <w:iCs/>
                <w:color w:val="000000"/>
              </w:rPr>
              <w:t xml:space="preserve"> Groningen, Groningen Research Institute Asthma and COPD (GRIAC), Groningen, The Netherlands</w:t>
            </w:r>
            <w:r w:rsidR="00096274">
              <w:rPr>
                <w:rFonts w:ascii="Arial" w:hAnsi="Arial" w:cs="Arial"/>
                <w:i/>
                <w:iCs/>
                <w:color w:val="000000"/>
              </w:rPr>
              <w:t>;</w:t>
            </w:r>
          </w:p>
          <w:p w14:paraId="7A80BBE3" w14:textId="77777777" w:rsidR="005E0DEF" w:rsidRDefault="005E0DEF" w:rsidP="00096274">
            <w:pPr>
              <w:autoSpaceDE w:val="0"/>
              <w:autoSpaceDN w:val="0"/>
              <w:adjustRightInd w:val="0"/>
              <w:spacing w:after="0" w:line="240" w:lineRule="auto"/>
              <w:rPr>
                <w:rFonts w:ascii="Arial" w:hAnsi="Arial" w:cs="Arial"/>
                <w:i/>
                <w:iCs/>
                <w:color w:val="000000"/>
              </w:rPr>
            </w:pPr>
            <w:r w:rsidRPr="005E0DEF">
              <w:rPr>
                <w:rFonts w:ascii="Arial" w:hAnsi="Arial" w:cs="Arial"/>
                <w:i/>
                <w:iCs/>
                <w:color w:val="000000"/>
                <w:vertAlign w:val="superscript"/>
              </w:rPr>
              <w:t>8</w:t>
            </w:r>
            <w:r w:rsidR="00096274" w:rsidRPr="000143CC">
              <w:rPr>
                <w:rFonts w:ascii="Arial" w:hAnsi="Arial" w:cs="Arial"/>
                <w:i/>
                <w:iCs/>
                <w:color w:val="000000"/>
              </w:rPr>
              <w:t xml:space="preserve">Global Medical Affairs, Chiesi </w:t>
            </w:r>
            <w:proofErr w:type="spellStart"/>
            <w:r w:rsidR="00096274" w:rsidRPr="000143CC">
              <w:rPr>
                <w:rFonts w:ascii="Arial" w:hAnsi="Arial" w:cs="Arial"/>
                <w:i/>
                <w:iCs/>
                <w:color w:val="000000"/>
              </w:rPr>
              <w:t>Farmaceutici</w:t>
            </w:r>
            <w:proofErr w:type="spellEnd"/>
            <w:r w:rsidR="00096274" w:rsidRPr="000143CC">
              <w:rPr>
                <w:rFonts w:ascii="Arial" w:hAnsi="Arial" w:cs="Arial"/>
                <w:i/>
                <w:iCs/>
                <w:color w:val="000000"/>
              </w:rPr>
              <w:t>, S.p.A., Parma, Italy</w:t>
            </w:r>
            <w:r w:rsidR="00096274">
              <w:rPr>
                <w:rFonts w:ascii="Arial" w:hAnsi="Arial" w:cs="Arial"/>
                <w:i/>
                <w:iCs/>
                <w:color w:val="000000"/>
              </w:rPr>
              <w:t>;</w:t>
            </w:r>
            <w:r w:rsidR="00096274" w:rsidRPr="000143CC">
              <w:rPr>
                <w:rFonts w:ascii="Arial" w:hAnsi="Arial" w:cs="Arial"/>
                <w:i/>
                <w:iCs/>
                <w:color w:val="000000"/>
              </w:rPr>
              <w:t xml:space="preserve"> </w:t>
            </w:r>
          </w:p>
          <w:p w14:paraId="797DB593" w14:textId="32EF2490" w:rsidR="00096274" w:rsidRDefault="005E0DEF" w:rsidP="00096274">
            <w:pPr>
              <w:autoSpaceDE w:val="0"/>
              <w:autoSpaceDN w:val="0"/>
              <w:adjustRightInd w:val="0"/>
              <w:spacing w:after="0" w:line="240" w:lineRule="auto"/>
              <w:rPr>
                <w:rFonts w:ascii="Arial" w:hAnsi="Arial" w:cs="Arial"/>
                <w:i/>
                <w:iCs/>
                <w:color w:val="000000"/>
              </w:rPr>
            </w:pPr>
            <w:r w:rsidRPr="005E0DEF">
              <w:rPr>
                <w:rFonts w:ascii="Arial" w:hAnsi="Arial" w:cs="Arial"/>
                <w:i/>
                <w:iCs/>
                <w:color w:val="000000"/>
                <w:vertAlign w:val="superscript"/>
              </w:rPr>
              <w:t>9</w:t>
            </w:r>
            <w:r w:rsidR="00096274" w:rsidRPr="008C32BA">
              <w:rPr>
                <w:rFonts w:ascii="Arial" w:hAnsi="Arial" w:cs="Arial"/>
                <w:i/>
                <w:iCs/>
                <w:color w:val="000000"/>
              </w:rPr>
              <w:t>Institute for Lung Health, NIHR Leicester Biomedical Research Centre, University of Leicester, Leicester, U</w:t>
            </w:r>
            <w:r w:rsidR="00096274">
              <w:rPr>
                <w:rFonts w:ascii="Arial" w:hAnsi="Arial" w:cs="Arial"/>
                <w:i/>
                <w:iCs/>
                <w:color w:val="000000"/>
              </w:rPr>
              <w:t>nited Kingdom;</w:t>
            </w:r>
          </w:p>
          <w:p w14:paraId="69CD17EF" w14:textId="335F6FBA" w:rsidR="00096274" w:rsidRPr="0050053A" w:rsidRDefault="00096274" w:rsidP="00096274">
            <w:pPr>
              <w:spacing w:after="120"/>
              <w:rPr>
                <w:rFonts w:ascii="Arial" w:hAnsi="Arial" w:cs="Arial"/>
                <w:i/>
                <w:lang w:val="en-US" w:eastAsia="en-GB"/>
              </w:rPr>
            </w:pPr>
            <w:r w:rsidRPr="00096274">
              <w:rPr>
                <w:rFonts w:ascii="Arial" w:hAnsi="Arial" w:cs="Arial"/>
                <w:i/>
                <w:iCs/>
                <w:color w:val="000000"/>
                <w:vertAlign w:val="superscript"/>
              </w:rPr>
              <w:t>1</w:t>
            </w:r>
            <w:r w:rsidR="000A43D5">
              <w:rPr>
                <w:rFonts w:ascii="Arial" w:hAnsi="Arial" w:cs="Arial"/>
                <w:i/>
                <w:iCs/>
                <w:color w:val="000000"/>
                <w:vertAlign w:val="superscript"/>
              </w:rPr>
              <w:t>0</w:t>
            </w:r>
            <w:r>
              <w:rPr>
                <w:rFonts w:ascii="Arial" w:hAnsi="Arial" w:cs="Arial"/>
                <w:i/>
                <w:iCs/>
                <w:color w:val="000000"/>
              </w:rPr>
              <w:t>National Heart and Lung Institute, Imperial College London, London, United Kingdom.</w:t>
            </w:r>
          </w:p>
        </w:tc>
      </w:tr>
      <w:tr w:rsidR="00096274" w:rsidRPr="0050053A" w14:paraId="6DCECFB5" w14:textId="77777777" w:rsidTr="00096274">
        <w:trPr>
          <w:trHeight w:hRule="exact" w:val="9533"/>
          <w:jc w:val="center"/>
        </w:trPr>
        <w:tc>
          <w:tcPr>
            <w:tcW w:w="9528" w:type="dxa"/>
            <w:shd w:val="clear" w:color="auto" w:fill="auto"/>
          </w:tcPr>
          <w:p w14:paraId="5E116E63" w14:textId="77777777" w:rsidR="00096274" w:rsidRPr="0050053A" w:rsidRDefault="00096274" w:rsidP="00A7663A">
            <w:pPr>
              <w:pStyle w:val="Pa12"/>
              <w:rPr>
                <w:rStyle w:val="A4"/>
              </w:rPr>
            </w:pPr>
            <w:r>
              <w:rPr>
                <w:rStyle w:val="A4"/>
                <w:b/>
                <w:bCs/>
              </w:rPr>
              <w:lastRenderedPageBreak/>
              <w:t>Introduction/</w:t>
            </w:r>
            <w:r w:rsidRPr="0050053A">
              <w:rPr>
                <w:rStyle w:val="A4"/>
                <w:b/>
                <w:bCs/>
              </w:rPr>
              <w:t xml:space="preserve">Aim: </w:t>
            </w:r>
          </w:p>
          <w:p w14:paraId="60696FD8" w14:textId="225067F5" w:rsidR="00096274" w:rsidRPr="0050053A" w:rsidRDefault="00096274" w:rsidP="00A7663A">
            <w:pPr>
              <w:pStyle w:val="Pa12"/>
              <w:rPr>
                <w:sz w:val="22"/>
                <w:szCs w:val="22"/>
              </w:rPr>
            </w:pPr>
            <w:r w:rsidRPr="00096274">
              <w:rPr>
                <w:sz w:val="22"/>
                <w:szCs w:val="22"/>
              </w:rPr>
              <w:t>Spirometry with reversibility testing is the guideline-recommended first line test for asthma diagnosis. Oscillometry could provide an easier method with potentially equivalent sensitivity.</w:t>
            </w:r>
            <w:r>
              <w:rPr>
                <w:sz w:val="22"/>
                <w:szCs w:val="22"/>
              </w:rPr>
              <w:br/>
            </w:r>
            <w:r w:rsidRPr="00096274">
              <w:rPr>
                <w:sz w:val="22"/>
                <w:szCs w:val="22"/>
              </w:rPr>
              <w:t>T</w:t>
            </w:r>
            <w:r>
              <w:rPr>
                <w:sz w:val="22"/>
                <w:szCs w:val="22"/>
              </w:rPr>
              <w:t xml:space="preserve">he objective was to </w:t>
            </w:r>
            <w:r w:rsidRPr="00096274">
              <w:rPr>
                <w:sz w:val="22"/>
                <w:szCs w:val="22"/>
              </w:rPr>
              <w:t xml:space="preserve">compare changes in impulse </w:t>
            </w:r>
            <w:proofErr w:type="spellStart"/>
            <w:r w:rsidRPr="00096274">
              <w:rPr>
                <w:sz w:val="22"/>
                <w:szCs w:val="22"/>
              </w:rPr>
              <w:t>oscillometry</w:t>
            </w:r>
            <w:proofErr w:type="spellEnd"/>
            <w:r w:rsidRPr="00096274">
              <w:rPr>
                <w:sz w:val="22"/>
                <w:szCs w:val="22"/>
              </w:rPr>
              <w:t xml:space="preserve"> X5 and R5, and FEV</w:t>
            </w:r>
            <w:r w:rsidRPr="00096274">
              <w:rPr>
                <w:sz w:val="22"/>
                <w:szCs w:val="22"/>
                <w:vertAlign w:val="subscript"/>
              </w:rPr>
              <w:t>1</w:t>
            </w:r>
            <w:r w:rsidRPr="00096274">
              <w:rPr>
                <w:sz w:val="22"/>
                <w:szCs w:val="22"/>
              </w:rPr>
              <w:t xml:space="preserve"> after administration of a bronchodilator in the Assessment of Small Airways Involvement in Asthma (ATLANTIS) study.</w:t>
            </w:r>
          </w:p>
          <w:p w14:paraId="1825BB11" w14:textId="77777777" w:rsidR="00096274" w:rsidRDefault="00096274" w:rsidP="00A7663A">
            <w:pPr>
              <w:pStyle w:val="Pa12"/>
              <w:rPr>
                <w:rStyle w:val="A4"/>
                <w:b/>
                <w:bCs/>
              </w:rPr>
            </w:pPr>
          </w:p>
          <w:p w14:paraId="0FCFB67D" w14:textId="3EB746D9" w:rsidR="00096274" w:rsidRPr="0050053A" w:rsidRDefault="00096274" w:rsidP="00A7663A">
            <w:pPr>
              <w:pStyle w:val="Pa12"/>
              <w:rPr>
                <w:rStyle w:val="A4"/>
                <w:b/>
                <w:bCs/>
              </w:rPr>
            </w:pPr>
            <w:r w:rsidRPr="0050053A">
              <w:rPr>
                <w:rStyle w:val="A4"/>
                <w:b/>
                <w:bCs/>
              </w:rPr>
              <w:t>Method</w:t>
            </w:r>
            <w:r>
              <w:rPr>
                <w:rStyle w:val="A4"/>
                <w:b/>
                <w:bCs/>
              </w:rPr>
              <w:t>s</w:t>
            </w:r>
            <w:r w:rsidRPr="0050053A">
              <w:rPr>
                <w:rStyle w:val="A4"/>
                <w:b/>
                <w:bCs/>
              </w:rPr>
              <w:t xml:space="preserve">: </w:t>
            </w:r>
          </w:p>
          <w:p w14:paraId="094E079E" w14:textId="01B0E5F8" w:rsidR="00096274" w:rsidRDefault="00096274" w:rsidP="00A7663A">
            <w:pPr>
              <w:pStyle w:val="Pa12"/>
              <w:rPr>
                <w:rStyle w:val="A4"/>
                <w:b/>
                <w:bCs/>
              </w:rPr>
            </w:pPr>
            <w:r w:rsidRPr="00096274">
              <w:rPr>
                <w:sz w:val="22"/>
                <w:szCs w:val="22"/>
              </w:rPr>
              <w:t xml:space="preserve">Spirometry and </w:t>
            </w:r>
            <w:proofErr w:type="spellStart"/>
            <w:r w:rsidRPr="00096274">
              <w:rPr>
                <w:sz w:val="22"/>
                <w:szCs w:val="22"/>
              </w:rPr>
              <w:t>oscillometry</w:t>
            </w:r>
            <w:proofErr w:type="spellEnd"/>
            <w:r w:rsidRPr="00096274">
              <w:rPr>
                <w:sz w:val="22"/>
                <w:szCs w:val="22"/>
              </w:rPr>
              <w:t xml:space="preserve"> data from 520 patients with a clinical diagnosis of asthma in the ATLANTIS study was used in whom bronchodilator reversibility testing was performed at baseline. Reversibility was defined as an increase of ≥200</w:t>
            </w:r>
            <w:r>
              <w:rPr>
                <w:sz w:val="22"/>
                <w:szCs w:val="22"/>
              </w:rPr>
              <w:t xml:space="preserve"> </w:t>
            </w:r>
            <w:r w:rsidRPr="00096274">
              <w:rPr>
                <w:sz w:val="22"/>
                <w:szCs w:val="22"/>
              </w:rPr>
              <w:t>ml and ≥12% in FEV</w:t>
            </w:r>
            <w:r w:rsidRPr="00096274">
              <w:rPr>
                <w:sz w:val="22"/>
                <w:szCs w:val="22"/>
                <w:vertAlign w:val="subscript"/>
              </w:rPr>
              <w:t>1</w:t>
            </w:r>
            <w:r w:rsidRPr="00096274">
              <w:rPr>
                <w:sz w:val="22"/>
                <w:szCs w:val="22"/>
              </w:rPr>
              <w:t xml:space="preserve">. Oscillometry reversibility was defined as an increase in X5 ≥44% and/or a decrease in R5 ≥32% (according to revised ERS recommendations). Pearson correlations were calculated between absolute changes in spirometry and </w:t>
            </w:r>
            <w:proofErr w:type="spellStart"/>
            <w:r w:rsidRPr="00096274">
              <w:rPr>
                <w:sz w:val="22"/>
                <w:szCs w:val="22"/>
              </w:rPr>
              <w:t>oscillometry</w:t>
            </w:r>
            <w:proofErr w:type="spellEnd"/>
            <w:r w:rsidRPr="00096274">
              <w:rPr>
                <w:sz w:val="22"/>
                <w:szCs w:val="22"/>
              </w:rPr>
              <w:t xml:space="preserve"> measures.</w:t>
            </w:r>
            <w:r>
              <w:rPr>
                <w:sz w:val="22"/>
                <w:szCs w:val="22"/>
              </w:rPr>
              <w:br/>
            </w:r>
          </w:p>
          <w:p w14:paraId="36BFBBC7" w14:textId="7A86328B" w:rsidR="00096274" w:rsidRPr="0050053A" w:rsidRDefault="00096274" w:rsidP="00A7663A">
            <w:pPr>
              <w:pStyle w:val="Pa12"/>
              <w:rPr>
                <w:rStyle w:val="A4"/>
                <w:b/>
                <w:bCs/>
              </w:rPr>
            </w:pPr>
            <w:r w:rsidRPr="0050053A">
              <w:rPr>
                <w:rStyle w:val="A4"/>
                <w:b/>
                <w:bCs/>
              </w:rPr>
              <w:t xml:space="preserve">Results: </w:t>
            </w:r>
          </w:p>
          <w:p w14:paraId="74938D58" w14:textId="59770E58" w:rsidR="00096274" w:rsidRPr="0050053A" w:rsidRDefault="00096274" w:rsidP="00A7663A">
            <w:pPr>
              <w:pStyle w:val="Pa12"/>
              <w:rPr>
                <w:sz w:val="22"/>
                <w:szCs w:val="22"/>
              </w:rPr>
            </w:pPr>
            <w:r w:rsidRPr="00096274">
              <w:rPr>
                <w:sz w:val="22"/>
                <w:szCs w:val="22"/>
              </w:rPr>
              <w:t xml:space="preserve">177 (34%) patients had spirometry-defined reversibility. Of the 520 patients, 82 (15.8%) and 66 (12.7%) had X5-and R5-defined reversibility, respectively, and 111 (21.3%) had </w:t>
            </w:r>
            <w:proofErr w:type="spellStart"/>
            <w:r w:rsidRPr="00096274">
              <w:rPr>
                <w:sz w:val="22"/>
                <w:szCs w:val="22"/>
              </w:rPr>
              <w:t>oscillometry</w:t>
            </w:r>
            <w:proofErr w:type="spellEnd"/>
            <w:r w:rsidRPr="00096274">
              <w:rPr>
                <w:sz w:val="22"/>
                <w:szCs w:val="22"/>
              </w:rPr>
              <w:t xml:space="preserve">-defined reversibility. 54 (10.4%) patients showed reversibility in both </w:t>
            </w:r>
            <w:proofErr w:type="spellStart"/>
            <w:r w:rsidRPr="00096274">
              <w:rPr>
                <w:sz w:val="22"/>
                <w:szCs w:val="22"/>
              </w:rPr>
              <w:t>oscillometry</w:t>
            </w:r>
            <w:proofErr w:type="spellEnd"/>
            <w:r w:rsidRPr="00096274">
              <w:rPr>
                <w:sz w:val="22"/>
                <w:szCs w:val="22"/>
              </w:rPr>
              <w:t xml:space="preserve"> and spirometry, 234 (45%) had reversibility in at least one of the tests and 286 (55%) showed reversibility in neither test. There were weak but statistically significant correlations between changes in FEV</w:t>
            </w:r>
            <w:r w:rsidRPr="00096274">
              <w:rPr>
                <w:sz w:val="22"/>
                <w:szCs w:val="22"/>
                <w:vertAlign w:val="subscript"/>
              </w:rPr>
              <w:t>1</w:t>
            </w:r>
            <w:r w:rsidRPr="00096274">
              <w:rPr>
                <w:sz w:val="22"/>
                <w:szCs w:val="22"/>
              </w:rPr>
              <w:t>, and X5 and R5 (0.36 and -0.36 respectively, p&lt;0.01).</w:t>
            </w:r>
            <w:r>
              <w:rPr>
                <w:sz w:val="22"/>
                <w:szCs w:val="22"/>
              </w:rPr>
              <w:br/>
            </w:r>
          </w:p>
          <w:p w14:paraId="227DDD61" w14:textId="36A79ADE" w:rsidR="00096274" w:rsidRPr="00096274" w:rsidRDefault="00096274" w:rsidP="00096274">
            <w:pPr>
              <w:pStyle w:val="Pa12"/>
              <w:rPr>
                <w:b/>
                <w:bCs/>
                <w:sz w:val="22"/>
                <w:szCs w:val="22"/>
              </w:rPr>
            </w:pPr>
            <w:r w:rsidRPr="00096274">
              <w:rPr>
                <w:b/>
                <w:bCs/>
                <w:sz w:val="22"/>
                <w:szCs w:val="22"/>
              </w:rPr>
              <w:t>Conclusions:</w:t>
            </w:r>
          </w:p>
          <w:p w14:paraId="51A29A05" w14:textId="77777777" w:rsidR="00096274" w:rsidRPr="00096274" w:rsidRDefault="00096274" w:rsidP="00096274">
            <w:pPr>
              <w:pStyle w:val="Pa12"/>
              <w:rPr>
                <w:sz w:val="22"/>
                <w:szCs w:val="22"/>
              </w:rPr>
            </w:pPr>
            <w:r w:rsidRPr="00096274">
              <w:rPr>
                <w:sz w:val="22"/>
                <w:szCs w:val="22"/>
              </w:rPr>
              <w:t>Oscillometry in the ATLANTIS study identified reversible airways obstruction in approximately one in five patients, with only modest concordance with spirometry. Oscillometry could be used alongside spirometry in detecting reversible airways obstruction in asthma.</w:t>
            </w:r>
          </w:p>
          <w:p w14:paraId="0F0EFEC7" w14:textId="77777777" w:rsidR="00096274" w:rsidRDefault="00096274" w:rsidP="00096274">
            <w:pPr>
              <w:pStyle w:val="Pa12"/>
              <w:rPr>
                <w:sz w:val="22"/>
                <w:szCs w:val="22"/>
              </w:rPr>
            </w:pPr>
          </w:p>
          <w:p w14:paraId="65FB8C1A" w14:textId="4D50D0B7" w:rsidR="00096274" w:rsidRPr="00096274" w:rsidRDefault="00096274" w:rsidP="00096274">
            <w:pPr>
              <w:pStyle w:val="Pa12"/>
              <w:rPr>
                <w:b/>
                <w:bCs/>
                <w:sz w:val="22"/>
                <w:szCs w:val="22"/>
              </w:rPr>
            </w:pPr>
            <w:r w:rsidRPr="00096274">
              <w:rPr>
                <w:b/>
                <w:bCs/>
                <w:sz w:val="22"/>
                <w:szCs w:val="22"/>
              </w:rPr>
              <w:t>Grant Support</w:t>
            </w:r>
            <w:r>
              <w:rPr>
                <w:b/>
                <w:bCs/>
                <w:sz w:val="22"/>
                <w:szCs w:val="22"/>
              </w:rPr>
              <w:t>:</w:t>
            </w:r>
          </w:p>
          <w:p w14:paraId="7E3ABCEC" w14:textId="4AC15F0C" w:rsidR="00096274" w:rsidRPr="00096274" w:rsidRDefault="00096274" w:rsidP="00096274">
            <w:pPr>
              <w:pStyle w:val="Pa12"/>
              <w:rPr>
                <w:sz w:val="22"/>
                <w:szCs w:val="22"/>
              </w:rPr>
            </w:pPr>
            <w:r w:rsidRPr="00096274">
              <w:rPr>
                <w:sz w:val="22"/>
                <w:szCs w:val="22"/>
              </w:rPr>
              <w:t>Th</w:t>
            </w:r>
            <w:r w:rsidR="006C555D">
              <w:rPr>
                <w:sz w:val="22"/>
                <w:szCs w:val="22"/>
              </w:rPr>
              <w:t>e ATLANTIS</w:t>
            </w:r>
            <w:r w:rsidRPr="00096274">
              <w:rPr>
                <w:sz w:val="22"/>
                <w:szCs w:val="22"/>
              </w:rPr>
              <w:t xml:space="preserve"> study was funded by </w:t>
            </w:r>
            <w:r w:rsidR="004C095A">
              <w:rPr>
                <w:sz w:val="22"/>
                <w:szCs w:val="22"/>
              </w:rPr>
              <w:t xml:space="preserve">Chiesi </w:t>
            </w:r>
            <w:proofErr w:type="spellStart"/>
            <w:r w:rsidR="004C095A">
              <w:rPr>
                <w:sz w:val="22"/>
                <w:szCs w:val="22"/>
              </w:rPr>
              <w:t>Farmaceutici</w:t>
            </w:r>
            <w:proofErr w:type="spellEnd"/>
            <w:r w:rsidR="004C095A">
              <w:rPr>
                <w:sz w:val="22"/>
                <w:szCs w:val="22"/>
              </w:rPr>
              <w:t xml:space="preserve"> </w:t>
            </w:r>
            <w:proofErr w:type="spellStart"/>
            <w:r w:rsidR="004C095A">
              <w:rPr>
                <w:sz w:val="22"/>
                <w:szCs w:val="22"/>
              </w:rPr>
              <w:t>SpA</w:t>
            </w:r>
            <w:proofErr w:type="spellEnd"/>
            <w:r w:rsidR="004C095A">
              <w:rPr>
                <w:sz w:val="22"/>
                <w:szCs w:val="22"/>
              </w:rPr>
              <w:t>.</w:t>
            </w:r>
          </w:p>
          <w:p w14:paraId="2E6EB720" w14:textId="77777777" w:rsidR="00096274" w:rsidRPr="00096274" w:rsidRDefault="00096274" w:rsidP="00096274">
            <w:pPr>
              <w:pStyle w:val="Pa12"/>
              <w:rPr>
                <w:sz w:val="22"/>
                <w:szCs w:val="22"/>
              </w:rPr>
            </w:pPr>
          </w:p>
          <w:p w14:paraId="6874172C" w14:textId="56ECFCC8" w:rsidR="00096274" w:rsidRPr="00096274" w:rsidRDefault="00096274" w:rsidP="00096274">
            <w:pPr>
              <w:pStyle w:val="Pa12"/>
              <w:rPr>
                <w:b/>
                <w:bCs/>
                <w:sz w:val="22"/>
                <w:szCs w:val="22"/>
              </w:rPr>
            </w:pPr>
            <w:r w:rsidRPr="00096274">
              <w:rPr>
                <w:b/>
                <w:bCs/>
                <w:sz w:val="22"/>
                <w:szCs w:val="22"/>
              </w:rPr>
              <w:t>Declaration of Interest statement</w:t>
            </w:r>
            <w:r>
              <w:rPr>
                <w:b/>
                <w:bCs/>
                <w:sz w:val="22"/>
                <w:szCs w:val="22"/>
              </w:rPr>
              <w:t>:</w:t>
            </w:r>
          </w:p>
          <w:p w14:paraId="3BCCCCDE" w14:textId="761645F3" w:rsidR="00096274" w:rsidRDefault="00096274" w:rsidP="00096274">
            <w:pPr>
              <w:pStyle w:val="Pa12"/>
              <w:rPr>
                <w:sz w:val="22"/>
                <w:szCs w:val="22"/>
              </w:rPr>
            </w:pPr>
            <w:r w:rsidRPr="00096274">
              <w:rPr>
                <w:sz w:val="22"/>
                <w:szCs w:val="22"/>
              </w:rPr>
              <w:t xml:space="preserve">Dave Singh has received personal fees from </w:t>
            </w:r>
            <w:proofErr w:type="spellStart"/>
            <w:r w:rsidRPr="00096274">
              <w:rPr>
                <w:sz w:val="22"/>
                <w:szCs w:val="22"/>
              </w:rPr>
              <w:t>Aerogen</w:t>
            </w:r>
            <w:proofErr w:type="spellEnd"/>
            <w:r w:rsidRPr="00096274">
              <w:rPr>
                <w:sz w:val="22"/>
                <w:szCs w:val="22"/>
              </w:rPr>
              <w:t xml:space="preserve">, AstraZeneca, Boehringer Ingelheim, Chiesi, Cipla, CSL Behring, </w:t>
            </w:r>
            <w:proofErr w:type="spellStart"/>
            <w:r w:rsidRPr="00096274">
              <w:rPr>
                <w:sz w:val="22"/>
                <w:szCs w:val="22"/>
              </w:rPr>
              <w:t>Epiendo</w:t>
            </w:r>
            <w:proofErr w:type="spellEnd"/>
            <w:r w:rsidRPr="00096274">
              <w:rPr>
                <w:sz w:val="22"/>
                <w:szCs w:val="22"/>
              </w:rPr>
              <w:t xml:space="preserve">, Genentech, GlaxoSmithKline, Glenmark, </w:t>
            </w:r>
            <w:proofErr w:type="spellStart"/>
            <w:r w:rsidRPr="00096274">
              <w:rPr>
                <w:sz w:val="22"/>
                <w:szCs w:val="22"/>
              </w:rPr>
              <w:t>Gossamerbio</w:t>
            </w:r>
            <w:proofErr w:type="spellEnd"/>
            <w:r w:rsidRPr="00096274">
              <w:rPr>
                <w:sz w:val="22"/>
                <w:szCs w:val="22"/>
              </w:rPr>
              <w:t xml:space="preserve">, </w:t>
            </w:r>
            <w:proofErr w:type="spellStart"/>
            <w:r w:rsidRPr="00096274">
              <w:rPr>
                <w:sz w:val="22"/>
                <w:szCs w:val="22"/>
              </w:rPr>
              <w:t>Kinaset</w:t>
            </w:r>
            <w:proofErr w:type="spellEnd"/>
            <w:r w:rsidRPr="00096274">
              <w:rPr>
                <w:sz w:val="22"/>
                <w:szCs w:val="22"/>
              </w:rPr>
              <w:t xml:space="preserve">, </w:t>
            </w:r>
            <w:proofErr w:type="spellStart"/>
            <w:r w:rsidRPr="00096274">
              <w:rPr>
                <w:sz w:val="22"/>
                <w:szCs w:val="22"/>
              </w:rPr>
              <w:t>Menarini</w:t>
            </w:r>
            <w:proofErr w:type="spellEnd"/>
            <w:r w:rsidRPr="00096274">
              <w:rPr>
                <w:sz w:val="22"/>
                <w:szCs w:val="22"/>
              </w:rPr>
              <w:t xml:space="preserve">, Novartis, </w:t>
            </w:r>
            <w:proofErr w:type="spellStart"/>
            <w:r w:rsidRPr="00096274">
              <w:rPr>
                <w:sz w:val="22"/>
                <w:szCs w:val="22"/>
              </w:rPr>
              <w:t>Pulmatrix</w:t>
            </w:r>
            <w:proofErr w:type="spellEnd"/>
            <w:r w:rsidRPr="00096274">
              <w:rPr>
                <w:sz w:val="22"/>
                <w:szCs w:val="22"/>
              </w:rPr>
              <w:t xml:space="preserve">, Sanofi, Teva, </w:t>
            </w:r>
            <w:proofErr w:type="spellStart"/>
            <w:r w:rsidRPr="00096274">
              <w:rPr>
                <w:sz w:val="22"/>
                <w:szCs w:val="22"/>
              </w:rPr>
              <w:t>Theravance</w:t>
            </w:r>
            <w:proofErr w:type="spellEnd"/>
            <w:r w:rsidRPr="00096274">
              <w:rPr>
                <w:sz w:val="22"/>
                <w:szCs w:val="22"/>
              </w:rPr>
              <w:t xml:space="preserve"> and Verona.</w:t>
            </w:r>
            <w:r>
              <w:rPr>
                <w:sz w:val="22"/>
                <w:szCs w:val="22"/>
              </w:rPr>
              <w:br/>
            </w:r>
            <w:r>
              <w:rPr>
                <w:sz w:val="22"/>
                <w:szCs w:val="22"/>
              </w:rPr>
              <w:br/>
            </w:r>
            <w:r>
              <w:rPr>
                <w:sz w:val="22"/>
                <w:szCs w:val="22"/>
              </w:rPr>
              <w:br/>
            </w:r>
            <w:r>
              <w:rPr>
                <w:sz w:val="22"/>
                <w:szCs w:val="22"/>
              </w:rPr>
              <w:br/>
            </w:r>
            <w:r>
              <w:rPr>
                <w:sz w:val="22"/>
                <w:szCs w:val="22"/>
              </w:rPr>
              <w:br/>
            </w:r>
          </w:p>
          <w:p w14:paraId="3ADC334C" w14:textId="77777777" w:rsidR="00096274" w:rsidRDefault="00096274" w:rsidP="00A7663A">
            <w:pPr>
              <w:pStyle w:val="Default"/>
            </w:pPr>
          </w:p>
          <w:p w14:paraId="2CA8AB80" w14:textId="77777777" w:rsidR="00096274" w:rsidRPr="003E35F0" w:rsidRDefault="00096274" w:rsidP="00A7663A">
            <w:pPr>
              <w:pStyle w:val="Default"/>
            </w:pPr>
          </w:p>
          <w:p w14:paraId="5DC80C83" w14:textId="77777777" w:rsidR="00096274" w:rsidRPr="0050053A" w:rsidRDefault="00096274" w:rsidP="00A7663A">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5E94F493" w14:textId="77777777" w:rsidR="00096274" w:rsidRPr="0050053A" w:rsidRDefault="00096274" w:rsidP="00A7663A">
            <w:pPr>
              <w:pStyle w:val="Default"/>
              <w:rPr>
                <w:rStyle w:val="A4"/>
                <w:bCs/>
              </w:rPr>
            </w:pPr>
          </w:p>
          <w:p w14:paraId="13779654" w14:textId="77777777" w:rsidR="00096274" w:rsidRPr="0050053A" w:rsidRDefault="00096274" w:rsidP="00A7663A">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01FB1FFB" w14:textId="00FECBD6" w:rsidR="00D6480F" w:rsidRPr="009F5061" w:rsidRDefault="00D6480F" w:rsidP="00096274">
      <w:pPr>
        <w:ind w:left="-284"/>
        <w:jc w:val="both"/>
        <w:rPr>
          <w:rStyle w:val="ui-provider"/>
          <w:rFonts w:ascii="Arial" w:hAnsi="Arial" w:cs="Arial"/>
        </w:rPr>
      </w:pPr>
    </w:p>
    <w:sectPr w:rsidR="00D6480F" w:rsidRPr="009F5061" w:rsidSect="003D58AF">
      <w:pgSz w:w="11906" w:h="16838"/>
      <w:pgMar w:top="12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38A80" w14:textId="77777777" w:rsidR="00E85BE4" w:rsidRDefault="00E85BE4" w:rsidP="003D58AF">
      <w:pPr>
        <w:spacing w:after="0" w:line="240" w:lineRule="auto"/>
      </w:pPr>
      <w:r>
        <w:separator/>
      </w:r>
    </w:p>
  </w:endnote>
  <w:endnote w:type="continuationSeparator" w:id="0">
    <w:p w14:paraId="30F633FC" w14:textId="77777777" w:rsidR="00E85BE4" w:rsidRDefault="00E85BE4" w:rsidP="003D5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0E2A0" w14:textId="77777777" w:rsidR="00E85BE4" w:rsidRDefault="00E85BE4" w:rsidP="003D58AF">
      <w:pPr>
        <w:spacing w:after="0" w:line="240" w:lineRule="auto"/>
      </w:pPr>
      <w:r>
        <w:separator/>
      </w:r>
    </w:p>
  </w:footnote>
  <w:footnote w:type="continuationSeparator" w:id="0">
    <w:p w14:paraId="1B2D48D9" w14:textId="77777777" w:rsidR="00E85BE4" w:rsidRDefault="00E85BE4" w:rsidP="003D58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D76"/>
    <w:rsid w:val="000143CC"/>
    <w:rsid w:val="00054F3C"/>
    <w:rsid w:val="00096274"/>
    <w:rsid w:val="000A2308"/>
    <w:rsid w:val="000A43D5"/>
    <w:rsid w:val="00135CFE"/>
    <w:rsid w:val="001C037A"/>
    <w:rsid w:val="0020564B"/>
    <w:rsid w:val="00357EEA"/>
    <w:rsid w:val="0038763D"/>
    <w:rsid w:val="003D4F26"/>
    <w:rsid w:val="003D58AF"/>
    <w:rsid w:val="00425910"/>
    <w:rsid w:val="004844BF"/>
    <w:rsid w:val="004B1B24"/>
    <w:rsid w:val="004C095A"/>
    <w:rsid w:val="004C11DD"/>
    <w:rsid w:val="004D5247"/>
    <w:rsid w:val="005A4940"/>
    <w:rsid w:val="005C331B"/>
    <w:rsid w:val="005E0DEF"/>
    <w:rsid w:val="00613E48"/>
    <w:rsid w:val="0063350C"/>
    <w:rsid w:val="006C555D"/>
    <w:rsid w:val="006F4774"/>
    <w:rsid w:val="00701D76"/>
    <w:rsid w:val="007B66D4"/>
    <w:rsid w:val="008947C7"/>
    <w:rsid w:val="008B5FE0"/>
    <w:rsid w:val="008C32BA"/>
    <w:rsid w:val="008E770D"/>
    <w:rsid w:val="009217C2"/>
    <w:rsid w:val="00973623"/>
    <w:rsid w:val="009965AA"/>
    <w:rsid w:val="009A5F98"/>
    <w:rsid w:val="009A62A1"/>
    <w:rsid w:val="009F5061"/>
    <w:rsid w:val="00A008CB"/>
    <w:rsid w:val="00B837DE"/>
    <w:rsid w:val="00B91778"/>
    <w:rsid w:val="00BA03CB"/>
    <w:rsid w:val="00BC22D3"/>
    <w:rsid w:val="00C85DFD"/>
    <w:rsid w:val="00CA5DA1"/>
    <w:rsid w:val="00CD7B04"/>
    <w:rsid w:val="00CE02BF"/>
    <w:rsid w:val="00CE5227"/>
    <w:rsid w:val="00D6480F"/>
    <w:rsid w:val="00DB6A9D"/>
    <w:rsid w:val="00DC5080"/>
    <w:rsid w:val="00E03CB5"/>
    <w:rsid w:val="00E71892"/>
    <w:rsid w:val="00E85BE4"/>
    <w:rsid w:val="00EB42D3"/>
    <w:rsid w:val="00EE7EDD"/>
    <w:rsid w:val="00FC0862"/>
    <w:rsid w:val="00FF29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5BF7E"/>
  <w15:chartTrackingRefBased/>
  <w15:docId w15:val="{01F43BCD-CC21-457B-9A2F-CBB80F46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D6480F"/>
  </w:style>
  <w:style w:type="paragraph" w:styleId="Header">
    <w:name w:val="header"/>
    <w:basedOn w:val="Normal"/>
    <w:link w:val="HeaderChar"/>
    <w:uiPriority w:val="99"/>
    <w:unhideWhenUsed/>
    <w:rsid w:val="003D58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8AF"/>
  </w:style>
  <w:style w:type="paragraph" w:styleId="Footer">
    <w:name w:val="footer"/>
    <w:basedOn w:val="Normal"/>
    <w:link w:val="FooterChar"/>
    <w:uiPriority w:val="99"/>
    <w:unhideWhenUsed/>
    <w:rsid w:val="003D58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8AF"/>
  </w:style>
  <w:style w:type="character" w:customStyle="1" w:styleId="nlm-institution">
    <w:name w:val="nlm-institution"/>
    <w:basedOn w:val="DefaultParagraphFont"/>
    <w:rsid w:val="00BA03CB"/>
  </w:style>
  <w:style w:type="character" w:customStyle="1" w:styleId="nlm-addr-line">
    <w:name w:val="nlm-addr-line"/>
    <w:basedOn w:val="DefaultParagraphFont"/>
    <w:rsid w:val="00BA03CB"/>
  </w:style>
  <w:style w:type="character" w:customStyle="1" w:styleId="nlm-country">
    <w:name w:val="nlm-country"/>
    <w:basedOn w:val="DefaultParagraphFont"/>
    <w:rsid w:val="00BA03CB"/>
  </w:style>
  <w:style w:type="paragraph" w:customStyle="1" w:styleId="Default">
    <w:name w:val="Default"/>
    <w:rsid w:val="00096274"/>
    <w:pPr>
      <w:autoSpaceDE w:val="0"/>
      <w:autoSpaceDN w:val="0"/>
      <w:adjustRightInd w:val="0"/>
      <w:spacing w:after="0" w:line="240" w:lineRule="auto"/>
    </w:pPr>
    <w:rPr>
      <w:rFonts w:ascii="Arial" w:eastAsia="Times New Roman" w:hAnsi="Arial" w:cs="Arial"/>
      <w:color w:val="000000"/>
      <w:kern w:val="0"/>
      <w:sz w:val="24"/>
      <w:szCs w:val="24"/>
      <w:lang w:val="en-NZ" w:eastAsia="en-NZ"/>
      <w14:ligatures w14:val="none"/>
    </w:rPr>
  </w:style>
  <w:style w:type="character" w:customStyle="1" w:styleId="A4">
    <w:name w:val="A4"/>
    <w:uiPriority w:val="99"/>
    <w:rsid w:val="00096274"/>
    <w:rPr>
      <w:color w:val="000000"/>
      <w:sz w:val="22"/>
      <w:szCs w:val="22"/>
    </w:rPr>
  </w:style>
  <w:style w:type="paragraph" w:customStyle="1" w:styleId="Pa12">
    <w:name w:val="Pa12"/>
    <w:basedOn w:val="Default"/>
    <w:next w:val="Default"/>
    <w:uiPriority w:val="99"/>
    <w:rsid w:val="0009627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998220">
      <w:bodyDiv w:val="1"/>
      <w:marLeft w:val="0"/>
      <w:marRight w:val="0"/>
      <w:marTop w:val="0"/>
      <w:marBottom w:val="0"/>
      <w:divBdr>
        <w:top w:val="none" w:sz="0" w:space="0" w:color="auto"/>
        <w:left w:val="none" w:sz="0" w:space="0" w:color="auto"/>
        <w:bottom w:val="none" w:sz="0" w:space="0" w:color="auto"/>
        <w:right w:val="none" w:sz="0" w:space="0" w:color="auto"/>
      </w:divBdr>
      <w:divsChild>
        <w:div w:id="1624728206">
          <w:marLeft w:val="0"/>
          <w:marRight w:val="0"/>
          <w:marTop w:val="0"/>
          <w:marBottom w:val="0"/>
          <w:divBdr>
            <w:top w:val="none" w:sz="0" w:space="0" w:color="auto"/>
            <w:left w:val="none" w:sz="0" w:space="0" w:color="auto"/>
            <w:bottom w:val="none" w:sz="0" w:space="0" w:color="auto"/>
            <w:right w:val="none" w:sz="0" w:space="0" w:color="auto"/>
          </w:divBdr>
        </w:div>
        <w:div w:id="1030641711">
          <w:marLeft w:val="0"/>
          <w:marRight w:val="0"/>
          <w:marTop w:val="0"/>
          <w:marBottom w:val="0"/>
          <w:divBdr>
            <w:top w:val="none" w:sz="0" w:space="0" w:color="auto"/>
            <w:left w:val="none" w:sz="0" w:space="0" w:color="auto"/>
            <w:bottom w:val="none" w:sz="0" w:space="0" w:color="auto"/>
            <w:right w:val="none" w:sz="0" w:space="0" w:color="auto"/>
          </w:divBdr>
          <w:divsChild>
            <w:div w:id="35234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68873">
      <w:bodyDiv w:val="1"/>
      <w:marLeft w:val="0"/>
      <w:marRight w:val="0"/>
      <w:marTop w:val="0"/>
      <w:marBottom w:val="0"/>
      <w:divBdr>
        <w:top w:val="none" w:sz="0" w:space="0" w:color="auto"/>
        <w:left w:val="none" w:sz="0" w:space="0" w:color="auto"/>
        <w:bottom w:val="none" w:sz="0" w:space="0" w:color="auto"/>
        <w:right w:val="none" w:sz="0" w:space="0" w:color="auto"/>
      </w:divBdr>
    </w:div>
    <w:div w:id="1075935128">
      <w:bodyDiv w:val="1"/>
      <w:marLeft w:val="0"/>
      <w:marRight w:val="0"/>
      <w:marTop w:val="0"/>
      <w:marBottom w:val="0"/>
      <w:divBdr>
        <w:top w:val="none" w:sz="0" w:space="0" w:color="auto"/>
        <w:left w:val="none" w:sz="0" w:space="0" w:color="auto"/>
        <w:bottom w:val="none" w:sz="0" w:space="0" w:color="auto"/>
        <w:right w:val="none" w:sz="0" w:space="0" w:color="auto"/>
      </w:divBdr>
      <w:divsChild>
        <w:div w:id="409886032">
          <w:marLeft w:val="0"/>
          <w:marRight w:val="0"/>
          <w:marTop w:val="120"/>
          <w:marBottom w:val="0"/>
          <w:divBdr>
            <w:top w:val="none" w:sz="0" w:space="0" w:color="auto"/>
            <w:left w:val="none" w:sz="0" w:space="0" w:color="auto"/>
            <w:bottom w:val="none" w:sz="0" w:space="0" w:color="auto"/>
            <w:right w:val="none" w:sz="0" w:space="0" w:color="auto"/>
          </w:divBdr>
          <w:divsChild>
            <w:div w:id="17021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92360">
      <w:bodyDiv w:val="1"/>
      <w:marLeft w:val="0"/>
      <w:marRight w:val="0"/>
      <w:marTop w:val="0"/>
      <w:marBottom w:val="0"/>
      <w:divBdr>
        <w:top w:val="none" w:sz="0" w:space="0" w:color="auto"/>
        <w:left w:val="none" w:sz="0" w:space="0" w:color="auto"/>
        <w:bottom w:val="none" w:sz="0" w:space="0" w:color="auto"/>
        <w:right w:val="none" w:sz="0" w:space="0" w:color="auto"/>
      </w:divBdr>
    </w:div>
    <w:div w:id="1981877923">
      <w:bodyDiv w:val="1"/>
      <w:marLeft w:val="0"/>
      <w:marRight w:val="0"/>
      <w:marTop w:val="0"/>
      <w:marBottom w:val="0"/>
      <w:divBdr>
        <w:top w:val="none" w:sz="0" w:space="0" w:color="auto"/>
        <w:left w:val="none" w:sz="0" w:space="0" w:color="auto"/>
        <w:bottom w:val="none" w:sz="0" w:space="0" w:color="auto"/>
        <w:right w:val="none" w:sz="0" w:space="0" w:color="auto"/>
      </w:divBdr>
      <w:divsChild>
        <w:div w:id="578710704">
          <w:marLeft w:val="0"/>
          <w:marRight w:val="0"/>
          <w:marTop w:val="0"/>
          <w:marBottom w:val="0"/>
          <w:divBdr>
            <w:top w:val="none" w:sz="0" w:space="0" w:color="auto"/>
            <w:left w:val="none" w:sz="0" w:space="0" w:color="auto"/>
            <w:bottom w:val="none" w:sz="0" w:space="0" w:color="auto"/>
            <w:right w:val="none" w:sz="0" w:space="0" w:color="auto"/>
          </w:divBdr>
        </w:div>
        <w:div w:id="2069037816">
          <w:marLeft w:val="0"/>
          <w:marRight w:val="0"/>
          <w:marTop w:val="0"/>
          <w:marBottom w:val="0"/>
          <w:divBdr>
            <w:top w:val="none" w:sz="0" w:space="0" w:color="auto"/>
            <w:left w:val="none" w:sz="0" w:space="0" w:color="auto"/>
            <w:bottom w:val="none" w:sz="0" w:space="0" w:color="auto"/>
            <w:right w:val="none" w:sz="0" w:space="0" w:color="auto"/>
          </w:divBdr>
          <w:divsChild>
            <w:div w:id="134416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6417</TotalTime>
  <Pages>2</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 Ravina</dc:creator>
  <cp:keywords/>
  <dc:description/>
  <cp:lastModifiedBy>RAVI Ravina</cp:lastModifiedBy>
  <cp:revision>31</cp:revision>
  <dcterms:created xsi:type="dcterms:W3CDTF">2023-09-28T05:18:00Z</dcterms:created>
  <dcterms:modified xsi:type="dcterms:W3CDTF">2023-10-18T21:12:00Z</dcterms:modified>
</cp:coreProperties>
</file>