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20D6" w14:textId="5B8D654D" w:rsidR="006670BF" w:rsidRPr="00C02011" w:rsidRDefault="006670BF" w:rsidP="002D5A22">
      <w:pPr>
        <w:jc w:val="both"/>
        <w:rPr>
          <w:rFonts w:ascii="Arial" w:hAnsi="Arial" w:cs="Arial"/>
        </w:rPr>
      </w:pPr>
      <w:r w:rsidRPr="00C02011">
        <w:rPr>
          <w:rFonts w:ascii="Arial" w:hAnsi="Arial" w:cs="Arial"/>
        </w:rPr>
        <w:t>Glyc</w:t>
      </w:r>
      <w:r w:rsidR="00563EA1" w:rsidRPr="00C02011">
        <w:rPr>
          <w:rFonts w:ascii="Arial" w:hAnsi="Arial" w:cs="Arial"/>
        </w:rPr>
        <w:t>a</w:t>
      </w:r>
      <w:r w:rsidRPr="00C02011">
        <w:rPr>
          <w:rFonts w:ascii="Arial" w:hAnsi="Arial" w:cs="Arial"/>
        </w:rPr>
        <w:t>emic Impact of the Pre-Exercise Timing of an Elevated Glucose Target Implemented Using an Automated Insulin Delivery System in Adults with Type 1 Diabetes</w:t>
      </w:r>
    </w:p>
    <w:p w14:paraId="30D0BF8B" w14:textId="72D4A5E1" w:rsidR="00871E1F" w:rsidRPr="00C02011" w:rsidRDefault="00C408F2" w:rsidP="002D5A22">
      <w:pPr>
        <w:jc w:val="both"/>
        <w:rPr>
          <w:rFonts w:ascii="Arial" w:hAnsi="Arial" w:cs="Arial"/>
        </w:rPr>
      </w:pPr>
      <w:r w:rsidRPr="00C02011">
        <w:rPr>
          <w:rFonts w:ascii="Arial" w:hAnsi="Arial" w:cs="Arial"/>
        </w:rPr>
        <w:t xml:space="preserve">Aim: </w:t>
      </w:r>
      <w:r w:rsidR="005E7C89" w:rsidRPr="00C02011">
        <w:rPr>
          <w:rFonts w:ascii="Arial" w:hAnsi="Arial" w:cs="Arial"/>
        </w:rPr>
        <w:t>P</w:t>
      </w:r>
      <w:r w:rsidR="00BA5151" w:rsidRPr="00C02011">
        <w:rPr>
          <w:rFonts w:ascii="Arial" w:hAnsi="Arial" w:cs="Arial"/>
        </w:rPr>
        <w:t xml:space="preserve">re-exercise </w:t>
      </w:r>
      <w:r w:rsidR="00CC4FBF" w:rsidRPr="00C02011">
        <w:rPr>
          <w:rFonts w:ascii="Arial" w:hAnsi="Arial" w:cs="Arial"/>
        </w:rPr>
        <w:t>recommendations for people with</w:t>
      </w:r>
      <w:r w:rsidR="00871E1F" w:rsidRPr="00C02011">
        <w:rPr>
          <w:rFonts w:ascii="Arial" w:hAnsi="Arial" w:cs="Arial"/>
        </w:rPr>
        <w:t xml:space="preserve"> type 1 diabetes</w:t>
      </w:r>
      <w:r w:rsidR="005B114B" w:rsidRPr="00C02011">
        <w:rPr>
          <w:rFonts w:ascii="Arial" w:hAnsi="Arial" w:cs="Arial"/>
        </w:rPr>
        <w:t xml:space="preserve"> (T1D)</w:t>
      </w:r>
      <w:r w:rsidR="00871E1F" w:rsidRPr="00C02011">
        <w:rPr>
          <w:rFonts w:ascii="Arial" w:hAnsi="Arial" w:cs="Arial"/>
        </w:rPr>
        <w:t xml:space="preserve"> </w:t>
      </w:r>
      <w:r w:rsidR="00CC4FBF" w:rsidRPr="00C02011">
        <w:rPr>
          <w:rFonts w:ascii="Arial" w:hAnsi="Arial" w:cs="Arial"/>
        </w:rPr>
        <w:t xml:space="preserve">using </w:t>
      </w:r>
      <w:r w:rsidR="001370F1" w:rsidRPr="00C02011">
        <w:rPr>
          <w:rFonts w:ascii="Arial" w:hAnsi="Arial" w:cs="Arial"/>
        </w:rPr>
        <w:t>automated insulin delivery</w:t>
      </w:r>
      <w:r w:rsidR="00CC4FBF" w:rsidRPr="00C02011">
        <w:rPr>
          <w:rFonts w:ascii="Arial" w:hAnsi="Arial" w:cs="Arial"/>
        </w:rPr>
        <w:t xml:space="preserve"> </w:t>
      </w:r>
      <w:r w:rsidR="00052A0D" w:rsidRPr="00C02011">
        <w:rPr>
          <w:rFonts w:ascii="Arial" w:hAnsi="Arial" w:cs="Arial"/>
        </w:rPr>
        <w:t xml:space="preserve">often </w:t>
      </w:r>
      <w:r w:rsidR="00BA5151" w:rsidRPr="00C02011">
        <w:rPr>
          <w:rFonts w:ascii="Arial" w:hAnsi="Arial" w:cs="Arial"/>
        </w:rPr>
        <w:t xml:space="preserve">involve </w:t>
      </w:r>
      <w:r w:rsidR="00052A0D" w:rsidRPr="00C02011">
        <w:rPr>
          <w:rFonts w:ascii="Arial" w:hAnsi="Arial" w:cs="Arial"/>
        </w:rPr>
        <w:t>planning exercise well in advance</w:t>
      </w:r>
      <w:r w:rsidR="00BA5151" w:rsidRPr="00C02011">
        <w:rPr>
          <w:rFonts w:ascii="Arial" w:hAnsi="Arial" w:cs="Arial"/>
        </w:rPr>
        <w:t>,</w:t>
      </w:r>
      <w:r w:rsidR="000910A3" w:rsidRPr="00C02011">
        <w:rPr>
          <w:rFonts w:ascii="Arial" w:hAnsi="Arial" w:cs="Arial"/>
        </w:rPr>
        <w:t xml:space="preserve"> such as s</w:t>
      </w:r>
      <w:r w:rsidR="00871E1F" w:rsidRPr="00C02011">
        <w:rPr>
          <w:rFonts w:ascii="Arial" w:hAnsi="Arial" w:cs="Arial"/>
        </w:rPr>
        <w:t>etting a temporar</w:t>
      </w:r>
      <w:r w:rsidR="005B114B" w:rsidRPr="00C02011">
        <w:rPr>
          <w:rFonts w:ascii="Arial" w:hAnsi="Arial" w:cs="Arial"/>
        </w:rPr>
        <w:t>y</w:t>
      </w:r>
      <w:r w:rsidR="00052A0D" w:rsidRPr="00C02011">
        <w:rPr>
          <w:rFonts w:ascii="Arial" w:hAnsi="Arial" w:cs="Arial"/>
        </w:rPr>
        <w:t xml:space="preserve"> elevated</w:t>
      </w:r>
      <w:r w:rsidR="00871E1F" w:rsidRPr="00C02011">
        <w:rPr>
          <w:rFonts w:ascii="Arial" w:hAnsi="Arial" w:cs="Arial"/>
        </w:rPr>
        <w:t xml:space="preserve"> glucose target</w:t>
      </w:r>
      <w:r w:rsidR="003B41E1" w:rsidRPr="00C02011">
        <w:rPr>
          <w:rFonts w:ascii="Arial" w:hAnsi="Arial" w:cs="Arial"/>
        </w:rPr>
        <w:t xml:space="preserve"> (TT)</w:t>
      </w:r>
      <w:r w:rsidR="00673371" w:rsidRPr="00C02011">
        <w:rPr>
          <w:rFonts w:ascii="Arial" w:hAnsi="Arial" w:cs="Arial"/>
        </w:rPr>
        <w:t xml:space="preserve"> 1-2h </w:t>
      </w:r>
      <w:r w:rsidR="00BA5151" w:rsidRPr="00C02011">
        <w:rPr>
          <w:rFonts w:ascii="Arial" w:hAnsi="Arial" w:cs="Arial"/>
        </w:rPr>
        <w:t>pr</w:t>
      </w:r>
      <w:r w:rsidR="00673371" w:rsidRPr="00C02011">
        <w:rPr>
          <w:rFonts w:ascii="Arial" w:hAnsi="Arial" w:cs="Arial"/>
        </w:rPr>
        <w:t>e</w:t>
      </w:r>
      <w:r w:rsidR="00BA5151" w:rsidRPr="00C02011">
        <w:rPr>
          <w:rFonts w:ascii="Arial" w:hAnsi="Arial" w:cs="Arial"/>
        </w:rPr>
        <w:t>-</w:t>
      </w:r>
      <w:r w:rsidR="00673371" w:rsidRPr="00C02011">
        <w:rPr>
          <w:rFonts w:ascii="Arial" w:hAnsi="Arial" w:cs="Arial"/>
        </w:rPr>
        <w:t>exercise</w:t>
      </w:r>
      <w:r w:rsidR="000910A3" w:rsidRPr="00C02011">
        <w:rPr>
          <w:rFonts w:ascii="Arial" w:hAnsi="Arial" w:cs="Arial"/>
        </w:rPr>
        <w:t xml:space="preserve">. This study </w:t>
      </w:r>
      <w:r w:rsidR="005E7C89" w:rsidRPr="00C02011">
        <w:rPr>
          <w:rFonts w:ascii="Arial" w:hAnsi="Arial" w:cs="Arial"/>
        </w:rPr>
        <w:t>compares</w:t>
      </w:r>
      <w:r w:rsidR="00871E1F" w:rsidRPr="00C02011">
        <w:rPr>
          <w:rFonts w:ascii="Arial" w:hAnsi="Arial" w:cs="Arial"/>
        </w:rPr>
        <w:t xml:space="preserve"> glucose control in adults with </w:t>
      </w:r>
      <w:r w:rsidR="004413E0" w:rsidRPr="00C02011">
        <w:rPr>
          <w:rFonts w:ascii="Arial" w:hAnsi="Arial" w:cs="Arial"/>
        </w:rPr>
        <w:t>T1D</w:t>
      </w:r>
      <w:r w:rsidR="00871E1F" w:rsidRPr="00C02011">
        <w:rPr>
          <w:rFonts w:ascii="Arial" w:hAnsi="Arial" w:cs="Arial"/>
        </w:rPr>
        <w:t xml:space="preserve"> </w:t>
      </w:r>
      <w:r w:rsidR="00406301" w:rsidRPr="00C02011">
        <w:rPr>
          <w:rFonts w:ascii="Arial" w:hAnsi="Arial" w:cs="Arial"/>
        </w:rPr>
        <w:t xml:space="preserve">using </w:t>
      </w:r>
      <w:r w:rsidR="00052A0D" w:rsidRPr="00C02011">
        <w:rPr>
          <w:rFonts w:ascii="Arial" w:hAnsi="Arial" w:cs="Arial"/>
        </w:rPr>
        <w:t>AID</w:t>
      </w:r>
      <w:r w:rsidR="00406301" w:rsidRPr="00C02011">
        <w:rPr>
          <w:rFonts w:ascii="Arial" w:hAnsi="Arial" w:cs="Arial"/>
        </w:rPr>
        <w:t xml:space="preserve"> </w:t>
      </w:r>
      <w:r w:rsidR="00871E1F" w:rsidRPr="00C02011">
        <w:rPr>
          <w:rFonts w:ascii="Arial" w:hAnsi="Arial" w:cs="Arial"/>
        </w:rPr>
        <w:t xml:space="preserve">when a </w:t>
      </w:r>
      <w:r w:rsidR="003B41E1" w:rsidRPr="00C02011">
        <w:rPr>
          <w:rFonts w:ascii="Arial" w:hAnsi="Arial" w:cs="Arial"/>
        </w:rPr>
        <w:t>TT</w:t>
      </w:r>
      <w:r w:rsidR="00871E1F" w:rsidRPr="00C02011">
        <w:rPr>
          <w:rFonts w:ascii="Arial" w:hAnsi="Arial" w:cs="Arial"/>
        </w:rPr>
        <w:t xml:space="preserve"> is set </w:t>
      </w:r>
      <w:r w:rsidR="00CC4FBF" w:rsidRPr="00C02011">
        <w:rPr>
          <w:rFonts w:ascii="Arial" w:hAnsi="Arial" w:cs="Arial"/>
        </w:rPr>
        <w:t>closer</w:t>
      </w:r>
      <w:r w:rsidR="005E7C89" w:rsidRPr="00C02011">
        <w:rPr>
          <w:rFonts w:ascii="Arial" w:hAnsi="Arial" w:cs="Arial"/>
        </w:rPr>
        <w:t xml:space="preserve"> to </w:t>
      </w:r>
      <w:r w:rsidR="00406301" w:rsidRPr="00C02011">
        <w:rPr>
          <w:rFonts w:ascii="Arial" w:hAnsi="Arial" w:cs="Arial"/>
        </w:rPr>
        <w:t>e</w:t>
      </w:r>
      <w:r w:rsidR="00CC4FBF" w:rsidRPr="00C02011">
        <w:rPr>
          <w:rFonts w:ascii="Arial" w:hAnsi="Arial" w:cs="Arial"/>
        </w:rPr>
        <w:t>xercise</w:t>
      </w:r>
      <w:r w:rsidR="00202B6A" w:rsidRPr="00C02011">
        <w:rPr>
          <w:rFonts w:ascii="Arial" w:hAnsi="Arial" w:cs="Arial"/>
        </w:rPr>
        <w:t>.</w:t>
      </w:r>
      <w:r w:rsidR="00871E1F" w:rsidRPr="00C02011">
        <w:rPr>
          <w:rFonts w:ascii="Arial" w:hAnsi="Arial" w:cs="Arial"/>
        </w:rPr>
        <w:t xml:space="preserve"> </w:t>
      </w:r>
    </w:p>
    <w:p w14:paraId="182578E6" w14:textId="41B3463C" w:rsidR="00B37042" w:rsidRPr="00C02011" w:rsidRDefault="00C408F2" w:rsidP="00B37042">
      <w:pPr>
        <w:jc w:val="both"/>
        <w:rPr>
          <w:rFonts w:ascii="Arial" w:hAnsi="Arial" w:cs="Arial"/>
        </w:rPr>
      </w:pPr>
      <w:r w:rsidRPr="00C02011">
        <w:rPr>
          <w:rFonts w:ascii="Arial" w:hAnsi="Arial" w:cs="Arial"/>
        </w:rPr>
        <w:t xml:space="preserve">Methods: </w:t>
      </w:r>
      <w:r w:rsidR="00B37042" w:rsidRPr="00C02011">
        <w:rPr>
          <w:rFonts w:ascii="Arial" w:hAnsi="Arial" w:cs="Arial"/>
        </w:rPr>
        <w:t xml:space="preserve">Twenty-six participants using the Medtronic </w:t>
      </w:r>
      <w:proofErr w:type="spellStart"/>
      <w:r w:rsidR="00B37042" w:rsidRPr="00C02011">
        <w:rPr>
          <w:rFonts w:ascii="Arial" w:hAnsi="Arial" w:cs="Arial"/>
        </w:rPr>
        <w:t>MiniMed</w:t>
      </w:r>
      <w:r w:rsidR="00B37042" w:rsidRPr="00C02011">
        <w:rPr>
          <w:rFonts w:ascii="Arial" w:hAnsi="Arial" w:cs="Arial"/>
          <w:vertAlign w:val="superscript"/>
        </w:rPr>
        <w:t>TM</w:t>
      </w:r>
      <w:proofErr w:type="spellEnd"/>
      <w:r w:rsidR="00B37042" w:rsidRPr="00C02011">
        <w:rPr>
          <w:rFonts w:ascii="Arial" w:hAnsi="Arial" w:cs="Arial"/>
        </w:rPr>
        <w:t xml:space="preserve"> 780G system performed 16 exercise bouts</w:t>
      </w:r>
      <w:r w:rsidR="00A117E9" w:rsidRPr="00C02011">
        <w:rPr>
          <w:rFonts w:ascii="Arial" w:hAnsi="Arial" w:cs="Arial"/>
        </w:rPr>
        <w:t xml:space="preserve"> in random order</w:t>
      </w:r>
      <w:r w:rsidR="00B37042" w:rsidRPr="00C02011">
        <w:rPr>
          <w:rFonts w:ascii="Arial" w:hAnsi="Arial" w:cs="Arial"/>
        </w:rPr>
        <w:t>: 12 afternoon bouts (four 40min and four 90min moderate intensity exercise [MIE] and four 40min high intensity interval exercise [HIE]) and four morning bouts of 40min MIE, with a TT set 60min (TT60), 20min (TT20), 0min (TT0) or no TT (</w:t>
      </w:r>
      <w:proofErr w:type="spellStart"/>
      <w:r w:rsidR="00B37042" w:rsidRPr="00C02011">
        <w:rPr>
          <w:rFonts w:ascii="Arial" w:hAnsi="Arial" w:cs="Arial"/>
        </w:rPr>
        <w:t>TTnil</w:t>
      </w:r>
      <w:proofErr w:type="spellEnd"/>
      <w:r w:rsidR="00B37042" w:rsidRPr="00C02011">
        <w:rPr>
          <w:rFonts w:ascii="Arial" w:hAnsi="Arial" w:cs="Arial"/>
        </w:rPr>
        <w:t>) pre-exercise. Oral carbohydrate was consumed pre-exercise for glucose &lt;5.6mmol/L and during exercise for sensor glucose &lt;3.9mmol/L or symptomatic hypoglyc</w:t>
      </w:r>
      <w:r w:rsidR="00563EA1" w:rsidRPr="00C02011">
        <w:rPr>
          <w:rFonts w:ascii="Arial" w:hAnsi="Arial" w:cs="Arial"/>
        </w:rPr>
        <w:t>a</w:t>
      </w:r>
      <w:r w:rsidR="00B37042" w:rsidRPr="00C02011">
        <w:rPr>
          <w:rFonts w:ascii="Arial" w:hAnsi="Arial" w:cs="Arial"/>
        </w:rPr>
        <w:t xml:space="preserve">emia confirmed by </w:t>
      </w:r>
      <w:proofErr w:type="spellStart"/>
      <w:r w:rsidR="00B37042" w:rsidRPr="00C02011">
        <w:rPr>
          <w:rFonts w:ascii="Arial" w:hAnsi="Arial" w:cs="Arial"/>
        </w:rPr>
        <w:t>fingerprick</w:t>
      </w:r>
      <w:proofErr w:type="spellEnd"/>
      <w:r w:rsidR="00B37042" w:rsidRPr="00C02011">
        <w:rPr>
          <w:rFonts w:ascii="Arial" w:hAnsi="Arial" w:cs="Arial"/>
        </w:rPr>
        <w:t xml:space="preserve"> blood glucose. The primary outcome was time below range (TBR; &lt;3.9mmol/L) from exercise commencement to 2h post-exercise.</w:t>
      </w:r>
    </w:p>
    <w:p w14:paraId="61788495" w14:textId="16B677D4" w:rsidR="00B37042" w:rsidRPr="00C02011" w:rsidRDefault="00C408F2" w:rsidP="00B37042">
      <w:pPr>
        <w:jc w:val="both"/>
        <w:rPr>
          <w:rFonts w:ascii="Arial" w:hAnsi="Arial" w:cs="Arial"/>
        </w:rPr>
      </w:pPr>
      <w:r w:rsidRPr="00C02011">
        <w:rPr>
          <w:rFonts w:ascii="Arial" w:hAnsi="Arial" w:cs="Arial"/>
        </w:rPr>
        <w:t>Results:</w:t>
      </w:r>
      <w:r w:rsidR="002F5F66" w:rsidRPr="00C02011">
        <w:rPr>
          <w:rFonts w:ascii="Arial" w:hAnsi="Arial" w:cs="Arial"/>
        </w:rPr>
        <w:t xml:space="preserve"> </w:t>
      </w:r>
      <w:r w:rsidR="00B37042" w:rsidRPr="00C02011">
        <w:rPr>
          <w:rFonts w:ascii="Arial" w:hAnsi="Arial" w:cs="Arial"/>
        </w:rPr>
        <w:t xml:space="preserve">TBR was 0% from exercise commencement to 120 minutes post-exercise for all conditions with no difference between TT conditions. Insulin delivery in the 2h pre-exercise was higher for </w:t>
      </w:r>
      <w:proofErr w:type="spellStart"/>
      <w:r w:rsidR="00B37042" w:rsidRPr="00C02011">
        <w:rPr>
          <w:rFonts w:ascii="Arial" w:hAnsi="Arial" w:cs="Arial"/>
        </w:rPr>
        <w:t>TTnil</w:t>
      </w:r>
      <w:proofErr w:type="spellEnd"/>
      <w:r w:rsidR="00B37042" w:rsidRPr="00C02011">
        <w:rPr>
          <w:rFonts w:ascii="Arial" w:hAnsi="Arial" w:cs="Arial"/>
        </w:rPr>
        <w:t xml:space="preserve"> compared to TT60 (1.3 [0.9, 2.4] Units vs 2.0 [1.1, 3.0] Units; p=0.013), however there was no difference between TT conditions for starting glucose, TIR or for number of participants who experienced a hypoglyc</w:t>
      </w:r>
      <w:r w:rsidR="00563EA1" w:rsidRPr="00C02011">
        <w:rPr>
          <w:rFonts w:ascii="Arial" w:hAnsi="Arial" w:cs="Arial"/>
        </w:rPr>
        <w:t>a</w:t>
      </w:r>
      <w:r w:rsidR="00B37042" w:rsidRPr="00C02011">
        <w:rPr>
          <w:rFonts w:ascii="Arial" w:hAnsi="Arial" w:cs="Arial"/>
        </w:rPr>
        <w:t>emia episode from exercise commencement to 2h post-exercise.</w:t>
      </w:r>
    </w:p>
    <w:p w14:paraId="68442984" w14:textId="040C0C4D" w:rsidR="00B37042" w:rsidRPr="00C02011" w:rsidRDefault="00C408F2" w:rsidP="00B37042">
      <w:pPr>
        <w:jc w:val="both"/>
        <w:rPr>
          <w:rFonts w:ascii="Arial" w:hAnsi="Arial" w:cs="Arial"/>
        </w:rPr>
      </w:pPr>
      <w:r w:rsidRPr="00C02011">
        <w:rPr>
          <w:rFonts w:ascii="Arial" w:hAnsi="Arial" w:cs="Arial"/>
        </w:rPr>
        <w:t xml:space="preserve">Conclusion: </w:t>
      </w:r>
      <w:r w:rsidR="00B37042" w:rsidRPr="00C02011">
        <w:rPr>
          <w:rFonts w:ascii="Arial" w:hAnsi="Arial" w:cs="Arial"/>
        </w:rPr>
        <w:t>Glyc</w:t>
      </w:r>
      <w:r w:rsidR="00563EA1" w:rsidRPr="00C02011">
        <w:rPr>
          <w:rFonts w:ascii="Arial" w:hAnsi="Arial" w:cs="Arial"/>
        </w:rPr>
        <w:t>a</w:t>
      </w:r>
      <w:r w:rsidR="00B37042" w:rsidRPr="00C02011">
        <w:rPr>
          <w:rFonts w:ascii="Arial" w:hAnsi="Arial" w:cs="Arial"/>
        </w:rPr>
        <w:t>emia with exercise was excellent regardless of TT timing, which had minimal impact on glyc</w:t>
      </w:r>
      <w:r w:rsidR="00563EA1" w:rsidRPr="00C02011">
        <w:rPr>
          <w:rFonts w:ascii="Arial" w:hAnsi="Arial" w:cs="Arial"/>
        </w:rPr>
        <w:t>a</w:t>
      </w:r>
      <w:r w:rsidR="00B37042" w:rsidRPr="00C02011">
        <w:rPr>
          <w:rFonts w:ascii="Arial" w:hAnsi="Arial" w:cs="Arial"/>
        </w:rPr>
        <w:t>emic outcomes during and post-exercise in a well-controlled cohort in the absence of a recent meal.</w:t>
      </w:r>
      <w:r w:rsidR="008555DC" w:rsidRPr="00C02011">
        <w:rPr>
          <w:rFonts w:ascii="Arial" w:hAnsi="Arial" w:cs="Arial"/>
        </w:rPr>
        <w:t xml:space="preserve"> While implementation of a TT 60min pre-exercise as currently recommended has an impact on insulin delivery pre-exercise, the glycaemic benefits are </w:t>
      </w:r>
      <w:proofErr w:type="gramStart"/>
      <w:r w:rsidR="008555DC" w:rsidRPr="00C02011">
        <w:rPr>
          <w:rFonts w:ascii="Arial" w:hAnsi="Arial" w:cs="Arial"/>
        </w:rPr>
        <w:t>minor</w:t>
      </w:r>
      <w:proofErr w:type="gramEnd"/>
      <w:r w:rsidR="008555DC" w:rsidRPr="00C02011">
        <w:rPr>
          <w:rFonts w:ascii="Arial" w:hAnsi="Arial" w:cs="Arial"/>
        </w:rPr>
        <w:t xml:space="preserve"> and this recommendation could be liberalised in some cases.</w:t>
      </w:r>
    </w:p>
    <w:p w14:paraId="204914E3" w14:textId="60CC4B1A" w:rsidR="00D62A04" w:rsidRPr="00C02011" w:rsidRDefault="00D62A04" w:rsidP="002D5A22">
      <w:pPr>
        <w:jc w:val="both"/>
        <w:rPr>
          <w:rFonts w:ascii="Arial" w:hAnsi="Arial" w:cs="Arial"/>
        </w:rPr>
      </w:pPr>
    </w:p>
    <w:p w14:paraId="186A1F55" w14:textId="77777777" w:rsidR="00D62A04" w:rsidRDefault="00D62A04">
      <w:pPr>
        <w:rPr>
          <w:rFonts w:cstheme="minorHAnsi"/>
        </w:rPr>
      </w:pPr>
      <w:r>
        <w:rPr>
          <w:rFonts w:cstheme="minorHAnsi"/>
        </w:rPr>
        <w:br w:type="page"/>
      </w:r>
    </w:p>
    <w:p w14:paraId="55FCDD8D" w14:textId="1BE9E912" w:rsidR="004F3C66" w:rsidRDefault="00D62A04" w:rsidP="002D5A22">
      <w:pPr>
        <w:jc w:val="both"/>
        <w:rPr>
          <w:rFonts w:cstheme="minorHAnsi"/>
        </w:rPr>
      </w:pPr>
      <w:r>
        <w:rPr>
          <w:rFonts w:cstheme="minorHAnsi"/>
        </w:rPr>
        <w:lastRenderedPageBreak/>
        <w:t>(ADC TEMPLATE)</w:t>
      </w:r>
    </w:p>
    <w:p w14:paraId="1AB6000E" w14:textId="77777777" w:rsidR="00490F1C" w:rsidRPr="007244F0" w:rsidRDefault="00490F1C" w:rsidP="00490F1C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title: </w:t>
      </w:r>
      <w:r w:rsidRPr="00C2174A">
        <w:rPr>
          <w:rFonts w:ascii="Arial" w:hAnsi="Arial" w:cs="Arial"/>
        </w:rPr>
        <w:t>Glycaemic Impact of the Pre-Exercise Timing of an Elevated Glucose Target Implemented Using an Automated Insulin Delivery System in Adults with Type 1 Diabetes</w:t>
      </w:r>
    </w:p>
    <w:p w14:paraId="532CE0F1" w14:textId="77777777" w:rsidR="00490F1C" w:rsidRDefault="00490F1C" w:rsidP="00490F1C">
      <w:pPr>
        <w:rPr>
          <w:rFonts w:ascii="Arial" w:hAnsi="Arial" w:cs="Arial"/>
          <w:i/>
          <w:iCs/>
        </w:rPr>
      </w:pPr>
    </w:p>
    <w:p w14:paraId="7BBE5ECE" w14:textId="77777777" w:rsidR="00490F1C" w:rsidRDefault="00490F1C" w:rsidP="00490F1C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</w:t>
      </w:r>
      <w:r>
        <w:rPr>
          <w:rFonts w:ascii="Arial" w:hAnsi="Arial" w:cs="Arial"/>
        </w:rPr>
        <w:t>content</w:t>
      </w:r>
      <w:r w:rsidRPr="007244F0">
        <w:rPr>
          <w:rFonts w:ascii="Arial" w:hAnsi="Arial" w:cs="Arial"/>
        </w:rPr>
        <w:t xml:space="preserve">: </w:t>
      </w:r>
    </w:p>
    <w:p w14:paraId="51A2F1A4" w14:textId="2E770C37" w:rsidR="00490F1C" w:rsidRPr="00C2174A" w:rsidRDefault="00490F1C" w:rsidP="00490F1C">
      <w:pPr>
        <w:rPr>
          <w:rFonts w:ascii="Arial" w:hAnsi="Arial" w:cs="Arial"/>
        </w:rPr>
      </w:pPr>
      <w:r w:rsidRPr="00C2174A">
        <w:rPr>
          <w:rFonts w:ascii="Arial" w:hAnsi="Arial" w:cs="Arial"/>
        </w:rPr>
        <w:t xml:space="preserve">Aim: Pre-exercise recommendations for people with type 1 diabetes (T1D) using automated insulin delivery often involve planning exercise well in advance, such as setting a temporary elevated glucose target (TT) 1-2h pre-exercise. This study compares glucose control in adults with T1D using AID when a TT is set closer to exercise. </w:t>
      </w:r>
    </w:p>
    <w:p w14:paraId="38DC96C3" w14:textId="60C0D7D2" w:rsidR="00490F1C" w:rsidRPr="00C2174A" w:rsidRDefault="00490F1C" w:rsidP="00490F1C">
      <w:pPr>
        <w:rPr>
          <w:rFonts w:ascii="Arial" w:hAnsi="Arial" w:cs="Arial"/>
        </w:rPr>
      </w:pPr>
      <w:r w:rsidRPr="00C2174A">
        <w:rPr>
          <w:rFonts w:ascii="Arial" w:hAnsi="Arial" w:cs="Arial"/>
        </w:rPr>
        <w:t xml:space="preserve">Methods: Twenty-six participants using the Medtronic </w:t>
      </w:r>
      <w:proofErr w:type="spellStart"/>
      <w:r w:rsidRPr="00C2174A">
        <w:rPr>
          <w:rFonts w:ascii="Arial" w:hAnsi="Arial" w:cs="Arial"/>
        </w:rPr>
        <w:t>MiniMed</w:t>
      </w:r>
      <w:r w:rsidRPr="00C2174A">
        <w:rPr>
          <w:rFonts w:ascii="Arial" w:hAnsi="Arial" w:cs="Arial"/>
          <w:vertAlign w:val="superscript"/>
        </w:rPr>
        <w:t>TM</w:t>
      </w:r>
      <w:proofErr w:type="spellEnd"/>
      <w:r w:rsidRPr="00C2174A">
        <w:rPr>
          <w:rFonts w:ascii="Arial" w:hAnsi="Arial" w:cs="Arial"/>
        </w:rPr>
        <w:t xml:space="preserve"> 780G system performed 16 exercise bouts in random order: 12 afternoon bouts (four 40min and four 90min moderate intensity exercise [MIE] and four 40min high intensity interval exercise [HIE]) and four morning bouts of 40min MIE, with a TT set 60min (TT60), 20min (TT20), 0min (TT0) or no TT (</w:t>
      </w:r>
      <w:proofErr w:type="spellStart"/>
      <w:r w:rsidRPr="00C2174A">
        <w:rPr>
          <w:rFonts w:ascii="Arial" w:hAnsi="Arial" w:cs="Arial"/>
        </w:rPr>
        <w:t>TTnil</w:t>
      </w:r>
      <w:proofErr w:type="spellEnd"/>
      <w:r w:rsidRPr="00C2174A">
        <w:rPr>
          <w:rFonts w:ascii="Arial" w:hAnsi="Arial" w:cs="Arial"/>
        </w:rPr>
        <w:t xml:space="preserve">) pre-exercise. Oral carbohydrate was consumed pre-exercise for glucose &lt;5.6mmol/L and during exercise for sensor glucose &lt;3.9mmol/L or symptomatic hypoglycaemia confirmed by </w:t>
      </w:r>
      <w:proofErr w:type="spellStart"/>
      <w:r w:rsidRPr="00C2174A">
        <w:rPr>
          <w:rFonts w:ascii="Arial" w:hAnsi="Arial" w:cs="Arial"/>
        </w:rPr>
        <w:t>fingerprick</w:t>
      </w:r>
      <w:proofErr w:type="spellEnd"/>
      <w:r w:rsidRPr="00C2174A">
        <w:rPr>
          <w:rFonts w:ascii="Arial" w:hAnsi="Arial" w:cs="Arial"/>
        </w:rPr>
        <w:t xml:space="preserve"> blood glucose. The primary outcome was time below range (TBR; &lt;3.9mmol/L) from exercise commencement to 2h post-exercise.</w:t>
      </w:r>
    </w:p>
    <w:p w14:paraId="1F08D78B" w14:textId="695071E9" w:rsidR="00490F1C" w:rsidRPr="00C2174A" w:rsidRDefault="00490F1C" w:rsidP="00490F1C">
      <w:pPr>
        <w:rPr>
          <w:rFonts w:ascii="Arial" w:hAnsi="Arial" w:cs="Arial"/>
        </w:rPr>
      </w:pPr>
      <w:r w:rsidRPr="00C2174A">
        <w:rPr>
          <w:rFonts w:ascii="Arial" w:hAnsi="Arial" w:cs="Arial"/>
        </w:rPr>
        <w:t xml:space="preserve">Results: TBR was 0% from exercise commencement to 120 minutes post-exercise for all conditions with no difference between TT conditions. Insulin delivery in the 2h pre-exercise was higher for </w:t>
      </w:r>
      <w:proofErr w:type="spellStart"/>
      <w:r w:rsidRPr="00C2174A">
        <w:rPr>
          <w:rFonts w:ascii="Arial" w:hAnsi="Arial" w:cs="Arial"/>
        </w:rPr>
        <w:t>TTnil</w:t>
      </w:r>
      <w:proofErr w:type="spellEnd"/>
      <w:r w:rsidRPr="00C2174A">
        <w:rPr>
          <w:rFonts w:ascii="Arial" w:hAnsi="Arial" w:cs="Arial"/>
        </w:rPr>
        <w:t xml:space="preserve"> compared to TT60 (1.3 [0.9, 2.4] Units vs 2.0 [1.1, 3.0] Units; p=0.013), however there was no difference between TT conditions for starting glucose, TIR or for number of participants who experienced a hypoglycaemia episode from exercise commencement to 2h post-exercise.</w:t>
      </w:r>
    </w:p>
    <w:p w14:paraId="3141C0CC" w14:textId="77777777" w:rsidR="00490F1C" w:rsidRPr="007244F0" w:rsidRDefault="00490F1C" w:rsidP="00490F1C">
      <w:pPr>
        <w:rPr>
          <w:rFonts w:ascii="Arial" w:hAnsi="Arial" w:cs="Arial"/>
        </w:rPr>
      </w:pPr>
      <w:r w:rsidRPr="00C2174A">
        <w:rPr>
          <w:rFonts w:ascii="Arial" w:hAnsi="Arial" w:cs="Arial"/>
        </w:rPr>
        <w:t xml:space="preserve">Conclusion: Glycaemia with exercise was excellent regardless of TT timing, which had minimal impact on glycaemic outcomes during and post-exercise in a well-controlled cohort in the absence of a recent meal. While implementation of a TT 60min pre-exercise as currently recommended has an impact on insulin delivery pre-exercise, the glycaemic benefits are </w:t>
      </w:r>
      <w:proofErr w:type="gramStart"/>
      <w:r w:rsidRPr="00C2174A">
        <w:rPr>
          <w:rFonts w:ascii="Arial" w:hAnsi="Arial" w:cs="Arial"/>
        </w:rPr>
        <w:t>minor</w:t>
      </w:r>
      <w:proofErr w:type="gramEnd"/>
      <w:r w:rsidRPr="00C2174A">
        <w:rPr>
          <w:rFonts w:ascii="Arial" w:hAnsi="Arial" w:cs="Arial"/>
        </w:rPr>
        <w:t xml:space="preserve"> and this recommendation could be liberalised in some cases.</w:t>
      </w:r>
    </w:p>
    <w:p w14:paraId="428E1429" w14:textId="77777777" w:rsidR="00490F1C" w:rsidRPr="007244F0" w:rsidRDefault="00490F1C" w:rsidP="00490F1C">
      <w:pPr>
        <w:rPr>
          <w:rFonts w:ascii="Arial" w:hAnsi="Arial" w:cs="Arial"/>
        </w:rPr>
      </w:pPr>
    </w:p>
    <w:p w14:paraId="2DDAAE94" w14:textId="77777777" w:rsidR="00D62A04" w:rsidRDefault="00D62A04" w:rsidP="002D5A22">
      <w:pPr>
        <w:jc w:val="both"/>
        <w:rPr>
          <w:rFonts w:cstheme="minorHAnsi"/>
        </w:rPr>
      </w:pPr>
    </w:p>
    <w:sectPr w:rsidR="00D62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1F"/>
    <w:rsid w:val="00016515"/>
    <w:rsid w:val="00031DE3"/>
    <w:rsid w:val="00042FF1"/>
    <w:rsid w:val="0004490F"/>
    <w:rsid w:val="00052A0D"/>
    <w:rsid w:val="000910A3"/>
    <w:rsid w:val="000A0A39"/>
    <w:rsid w:val="000B6EB1"/>
    <w:rsid w:val="000E16EB"/>
    <w:rsid w:val="00114B9B"/>
    <w:rsid w:val="00120F2C"/>
    <w:rsid w:val="001370F1"/>
    <w:rsid w:val="001556C6"/>
    <w:rsid w:val="00197C7E"/>
    <w:rsid w:val="001D260E"/>
    <w:rsid w:val="00202B6A"/>
    <w:rsid w:val="0021480A"/>
    <w:rsid w:val="002448B4"/>
    <w:rsid w:val="00261E47"/>
    <w:rsid w:val="002731A2"/>
    <w:rsid w:val="00280C21"/>
    <w:rsid w:val="00283C33"/>
    <w:rsid w:val="00291ED0"/>
    <w:rsid w:val="002C37C9"/>
    <w:rsid w:val="002D1A8E"/>
    <w:rsid w:val="002D5A22"/>
    <w:rsid w:val="002E7399"/>
    <w:rsid w:val="002E7869"/>
    <w:rsid w:val="002F1F95"/>
    <w:rsid w:val="002F2B5C"/>
    <w:rsid w:val="002F5F66"/>
    <w:rsid w:val="003375E5"/>
    <w:rsid w:val="00341AB5"/>
    <w:rsid w:val="0035682F"/>
    <w:rsid w:val="00395E5B"/>
    <w:rsid w:val="003A623D"/>
    <w:rsid w:val="003B41E1"/>
    <w:rsid w:val="003F3948"/>
    <w:rsid w:val="00406301"/>
    <w:rsid w:val="0040784F"/>
    <w:rsid w:val="00414D31"/>
    <w:rsid w:val="004413E0"/>
    <w:rsid w:val="00471DB8"/>
    <w:rsid w:val="00490F1C"/>
    <w:rsid w:val="00494F2D"/>
    <w:rsid w:val="004E1146"/>
    <w:rsid w:val="004F3C66"/>
    <w:rsid w:val="00500B7F"/>
    <w:rsid w:val="00516CF9"/>
    <w:rsid w:val="0052452F"/>
    <w:rsid w:val="00563EA1"/>
    <w:rsid w:val="005764E3"/>
    <w:rsid w:val="005B114B"/>
    <w:rsid w:val="005E7C89"/>
    <w:rsid w:val="006075C3"/>
    <w:rsid w:val="006225CC"/>
    <w:rsid w:val="00651B5E"/>
    <w:rsid w:val="00663AC1"/>
    <w:rsid w:val="006670BF"/>
    <w:rsid w:val="00673371"/>
    <w:rsid w:val="006D0C89"/>
    <w:rsid w:val="006E7879"/>
    <w:rsid w:val="0070183A"/>
    <w:rsid w:val="0071549E"/>
    <w:rsid w:val="007309D7"/>
    <w:rsid w:val="00753467"/>
    <w:rsid w:val="007768EB"/>
    <w:rsid w:val="007A3334"/>
    <w:rsid w:val="007E1F4E"/>
    <w:rsid w:val="007F4816"/>
    <w:rsid w:val="00824D71"/>
    <w:rsid w:val="00850B72"/>
    <w:rsid w:val="008555DC"/>
    <w:rsid w:val="00871E1F"/>
    <w:rsid w:val="008E1A40"/>
    <w:rsid w:val="008E4C47"/>
    <w:rsid w:val="00900F02"/>
    <w:rsid w:val="00921955"/>
    <w:rsid w:val="00936C80"/>
    <w:rsid w:val="00957159"/>
    <w:rsid w:val="00964CEE"/>
    <w:rsid w:val="00A117E9"/>
    <w:rsid w:val="00A24EDA"/>
    <w:rsid w:val="00A421BC"/>
    <w:rsid w:val="00A71825"/>
    <w:rsid w:val="00AB71BC"/>
    <w:rsid w:val="00B02DE0"/>
    <w:rsid w:val="00B30DE2"/>
    <w:rsid w:val="00B33752"/>
    <w:rsid w:val="00B36AA7"/>
    <w:rsid w:val="00B37042"/>
    <w:rsid w:val="00B47E5B"/>
    <w:rsid w:val="00B60E1C"/>
    <w:rsid w:val="00B70F4D"/>
    <w:rsid w:val="00BA045E"/>
    <w:rsid w:val="00BA5151"/>
    <w:rsid w:val="00BA78F0"/>
    <w:rsid w:val="00BF6232"/>
    <w:rsid w:val="00C02011"/>
    <w:rsid w:val="00C12664"/>
    <w:rsid w:val="00C12AE8"/>
    <w:rsid w:val="00C23054"/>
    <w:rsid w:val="00C408F2"/>
    <w:rsid w:val="00CC4FBF"/>
    <w:rsid w:val="00CE7ADC"/>
    <w:rsid w:val="00D0594B"/>
    <w:rsid w:val="00D2281D"/>
    <w:rsid w:val="00D27F35"/>
    <w:rsid w:val="00D62A04"/>
    <w:rsid w:val="00D86E4D"/>
    <w:rsid w:val="00DB49F3"/>
    <w:rsid w:val="00DE2277"/>
    <w:rsid w:val="00E04F9E"/>
    <w:rsid w:val="00E26E94"/>
    <w:rsid w:val="00E341A9"/>
    <w:rsid w:val="00E36720"/>
    <w:rsid w:val="00E63AF7"/>
    <w:rsid w:val="00E6621E"/>
    <w:rsid w:val="00E91DFE"/>
    <w:rsid w:val="00E946E3"/>
    <w:rsid w:val="00ED4A47"/>
    <w:rsid w:val="00ED54FD"/>
    <w:rsid w:val="00F008B3"/>
    <w:rsid w:val="00F27C3A"/>
    <w:rsid w:val="00F33927"/>
    <w:rsid w:val="00FB0124"/>
    <w:rsid w:val="00F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B436"/>
  <w15:chartTrackingRefBased/>
  <w15:docId w15:val="{A7AF1D9B-70CA-4C05-819B-3FAAC665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Morrison</dc:creator>
  <cp:keywords/>
  <dc:description/>
  <cp:lastModifiedBy>Dale Morrison</cp:lastModifiedBy>
  <cp:revision>13</cp:revision>
  <dcterms:created xsi:type="dcterms:W3CDTF">2025-05-07T05:10:00Z</dcterms:created>
  <dcterms:modified xsi:type="dcterms:W3CDTF">2025-05-19T01:17:00Z</dcterms:modified>
</cp:coreProperties>
</file>