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2"/>
      </w:tblGrid>
      <w:tr w:rsidR="00997799" w:rsidRPr="00997799" w14:paraId="5C38377B" w14:textId="77777777" w:rsidTr="00566AC8">
        <w:trPr>
          <w:jc w:val="center"/>
        </w:trPr>
        <w:tc>
          <w:tcPr>
            <w:tcW w:w="9212" w:type="dxa"/>
            <w:shd w:val="clear" w:color="auto" w:fill="auto"/>
          </w:tcPr>
          <w:p w14:paraId="5C44F357" w14:textId="3D728D8A" w:rsidR="001564A4" w:rsidRPr="00997799" w:rsidRDefault="0027105B" w:rsidP="000A28E2">
            <w:pPr>
              <w:spacing w:before="120" w:after="120"/>
              <w:rPr>
                <w:rFonts w:ascii="Arial" w:hAnsi="Arial" w:cs="Arial"/>
                <w:b/>
                <w:color w:val="000000" w:themeColor="text1"/>
                <w:sz w:val="22"/>
                <w:szCs w:val="22"/>
                <w:lang w:val="en-US" w:eastAsia="zh-CN"/>
              </w:rPr>
            </w:pPr>
            <w:r w:rsidRPr="00997799">
              <w:rPr>
                <w:rFonts w:ascii="Arial" w:hAnsi="Arial" w:cs="Arial"/>
                <w:b/>
                <w:color w:val="000000" w:themeColor="text1"/>
                <w:sz w:val="22"/>
                <w:szCs w:val="22"/>
                <w:lang w:val="en-US" w:eastAsia="zh-CN"/>
              </w:rPr>
              <w:t>Altering excess</w:t>
            </w:r>
            <w:r w:rsidR="00FD1D09" w:rsidRPr="00997799">
              <w:rPr>
                <w:rFonts w:ascii="Arial" w:hAnsi="Arial" w:cs="Arial"/>
                <w:b/>
                <w:color w:val="000000" w:themeColor="text1"/>
                <w:sz w:val="22"/>
                <w:szCs w:val="22"/>
                <w:lang w:val="en-US" w:eastAsia="zh-CN"/>
              </w:rPr>
              <w:t xml:space="preserve"> </w:t>
            </w:r>
            <w:r w:rsidRPr="00997799">
              <w:rPr>
                <w:rFonts w:ascii="Arial" w:hAnsi="Arial" w:cs="Arial"/>
                <w:b/>
                <w:color w:val="000000" w:themeColor="text1"/>
                <w:sz w:val="22"/>
                <w:szCs w:val="22"/>
                <w:lang w:val="en-US" w:eastAsia="zh-CN"/>
              </w:rPr>
              <w:t>glucose responses directly and</w:t>
            </w:r>
            <w:r w:rsidR="00FD1D09" w:rsidRPr="00997799">
              <w:rPr>
                <w:rFonts w:ascii="Arial" w:hAnsi="Arial" w:cs="Arial"/>
                <w:b/>
                <w:color w:val="000000" w:themeColor="text1"/>
                <w:sz w:val="22"/>
                <w:szCs w:val="22"/>
                <w:lang w:val="en-US" w:eastAsia="zh-CN"/>
              </w:rPr>
              <w:t xml:space="preserve"> </w:t>
            </w:r>
            <w:r w:rsidRPr="00997799">
              <w:rPr>
                <w:rFonts w:ascii="Arial" w:hAnsi="Arial" w:cs="Arial"/>
                <w:b/>
                <w:color w:val="000000" w:themeColor="text1"/>
                <w:sz w:val="22"/>
                <w:szCs w:val="22"/>
                <w:lang w:val="en-US" w:eastAsia="zh-CN"/>
              </w:rPr>
              <w:t xml:space="preserve">via </w:t>
            </w:r>
            <w:r w:rsidR="00FD1D09" w:rsidRPr="00997799">
              <w:rPr>
                <w:rFonts w:ascii="Arial" w:hAnsi="Arial" w:cs="Arial"/>
                <w:b/>
                <w:color w:val="000000" w:themeColor="text1"/>
                <w:sz w:val="22"/>
                <w:szCs w:val="22"/>
                <w:lang w:val="en-US" w:eastAsia="zh-CN"/>
              </w:rPr>
              <w:t>female sex hormone</w:t>
            </w:r>
            <w:r w:rsidRPr="00997799">
              <w:rPr>
                <w:rFonts w:ascii="Arial" w:hAnsi="Arial" w:cs="Arial"/>
                <w:b/>
                <w:color w:val="000000" w:themeColor="text1"/>
                <w:sz w:val="22"/>
                <w:szCs w:val="22"/>
                <w:lang w:val="en-US" w:eastAsia="zh-CN"/>
              </w:rPr>
              <w:t xml:space="preserve"> manipulation</w:t>
            </w:r>
            <w:r w:rsidR="00FD1D09" w:rsidRPr="00997799">
              <w:rPr>
                <w:rFonts w:ascii="Arial" w:hAnsi="Arial" w:cs="Arial"/>
                <w:b/>
                <w:color w:val="000000" w:themeColor="text1"/>
                <w:sz w:val="22"/>
                <w:szCs w:val="22"/>
                <w:lang w:val="en-US" w:eastAsia="zh-CN"/>
              </w:rPr>
              <w:t xml:space="preserve"> </w:t>
            </w:r>
            <w:r w:rsidRPr="00997799">
              <w:rPr>
                <w:rFonts w:ascii="Arial" w:hAnsi="Arial" w:cs="Arial"/>
                <w:b/>
                <w:color w:val="000000" w:themeColor="text1"/>
                <w:sz w:val="22"/>
                <w:szCs w:val="22"/>
                <w:lang w:val="en-US" w:eastAsia="zh-CN"/>
              </w:rPr>
              <w:t>protects</w:t>
            </w:r>
            <w:r w:rsidR="00FD1D09" w:rsidRPr="00997799">
              <w:rPr>
                <w:rFonts w:ascii="Arial" w:hAnsi="Arial" w:cs="Arial"/>
                <w:b/>
                <w:color w:val="000000" w:themeColor="text1"/>
                <w:sz w:val="22"/>
                <w:szCs w:val="22"/>
                <w:lang w:val="en-US" w:eastAsia="zh-CN"/>
              </w:rPr>
              <w:t xml:space="preserve"> against key features of obese experimental asthma.</w:t>
            </w:r>
          </w:p>
        </w:tc>
      </w:tr>
      <w:tr w:rsidR="00997799" w:rsidRPr="00997799" w14:paraId="0E2E035C" w14:textId="77777777" w:rsidTr="00566AC8">
        <w:trPr>
          <w:jc w:val="center"/>
        </w:trPr>
        <w:tc>
          <w:tcPr>
            <w:tcW w:w="9212" w:type="dxa"/>
            <w:shd w:val="clear" w:color="auto" w:fill="auto"/>
          </w:tcPr>
          <w:p w14:paraId="73B55295" w14:textId="3467A857" w:rsidR="001564A4" w:rsidRPr="00997799" w:rsidRDefault="00566AC8" w:rsidP="000A28E2">
            <w:pPr>
              <w:spacing w:before="120" w:after="120"/>
              <w:rPr>
                <w:rFonts w:ascii="Arial" w:hAnsi="Arial" w:cs="Arial"/>
                <w:color w:val="000000" w:themeColor="text1"/>
                <w:sz w:val="22"/>
                <w:szCs w:val="22"/>
                <w:u w:val="single"/>
                <w:lang w:eastAsia="zh-CN"/>
              </w:rPr>
            </w:pPr>
            <w:r w:rsidRPr="00997799">
              <w:rPr>
                <w:rFonts w:ascii="Arial" w:hAnsi="Arial" w:cs="Arial"/>
                <w:b/>
                <w:bCs/>
                <w:color w:val="000000" w:themeColor="text1"/>
                <w:sz w:val="22"/>
                <w:szCs w:val="22"/>
              </w:rPr>
              <w:t>Alexandra C. Brown</w:t>
            </w:r>
            <w:r w:rsidRPr="00997799">
              <w:rPr>
                <w:rFonts w:ascii="Arial" w:hAnsi="Arial" w:cs="Arial"/>
                <w:b/>
                <w:bCs/>
                <w:color w:val="000000" w:themeColor="text1"/>
                <w:sz w:val="22"/>
                <w:szCs w:val="22"/>
                <w:vertAlign w:val="superscript"/>
              </w:rPr>
              <w:t>1</w:t>
            </w:r>
            <w:r w:rsidR="00997799">
              <w:rPr>
                <w:rFonts w:ascii="Arial" w:hAnsi="Arial" w:cs="Arial"/>
                <w:b/>
                <w:bCs/>
                <w:color w:val="000000" w:themeColor="text1"/>
                <w:sz w:val="22"/>
                <w:szCs w:val="22"/>
                <w:vertAlign w:val="superscript"/>
              </w:rPr>
              <w:t>*</w:t>
            </w:r>
            <w:r w:rsidRPr="00997799">
              <w:rPr>
                <w:rFonts w:ascii="Arial" w:hAnsi="Arial" w:cs="Arial"/>
                <w:color w:val="000000" w:themeColor="text1"/>
                <w:sz w:val="22"/>
                <w:szCs w:val="22"/>
              </w:rPr>
              <w:t>, Olivia R. Carroll</w:t>
            </w:r>
            <w:r w:rsidRPr="00997799">
              <w:rPr>
                <w:rFonts w:ascii="Arial" w:hAnsi="Arial" w:cs="Arial"/>
                <w:color w:val="000000" w:themeColor="text1"/>
                <w:sz w:val="22"/>
                <w:szCs w:val="22"/>
                <w:vertAlign w:val="superscript"/>
              </w:rPr>
              <w:t>1</w:t>
            </w:r>
            <w:r w:rsidR="00997799">
              <w:rPr>
                <w:rFonts w:ascii="Arial" w:hAnsi="Arial" w:cs="Arial"/>
                <w:color w:val="000000" w:themeColor="text1"/>
                <w:sz w:val="22"/>
                <w:szCs w:val="22"/>
                <w:vertAlign w:val="superscript"/>
              </w:rPr>
              <w:t>*</w:t>
            </w:r>
            <w:r w:rsidRPr="00997799">
              <w:rPr>
                <w:rFonts w:ascii="Arial" w:hAnsi="Arial" w:cs="Arial"/>
                <w:color w:val="000000" w:themeColor="text1"/>
                <w:sz w:val="22"/>
                <w:szCs w:val="22"/>
              </w:rPr>
              <w:t>, Jemma R. Mayall</w:t>
            </w:r>
            <w:r w:rsidRPr="00997799">
              <w:rPr>
                <w:rFonts w:ascii="Arial" w:hAnsi="Arial" w:cs="Arial"/>
                <w:color w:val="000000" w:themeColor="text1"/>
                <w:sz w:val="22"/>
                <w:szCs w:val="22"/>
                <w:vertAlign w:val="superscript"/>
              </w:rPr>
              <w:t>1</w:t>
            </w:r>
            <w:r w:rsidRPr="00997799">
              <w:rPr>
                <w:rFonts w:ascii="Arial" w:hAnsi="Arial" w:cs="Arial"/>
                <w:color w:val="000000" w:themeColor="text1"/>
                <w:sz w:val="22"/>
                <w:szCs w:val="22"/>
              </w:rPr>
              <w:t>, Henry M. Gomez</w:t>
            </w:r>
            <w:r w:rsidRPr="00997799">
              <w:rPr>
                <w:rFonts w:ascii="Arial" w:hAnsi="Arial" w:cs="Arial"/>
                <w:color w:val="000000" w:themeColor="text1"/>
                <w:sz w:val="22"/>
                <w:szCs w:val="22"/>
                <w:vertAlign w:val="superscript"/>
              </w:rPr>
              <w:t>1</w:t>
            </w:r>
            <w:r w:rsidRPr="00997799">
              <w:rPr>
                <w:rFonts w:ascii="Arial" w:hAnsi="Arial" w:cs="Arial"/>
                <w:color w:val="000000" w:themeColor="text1"/>
                <w:sz w:val="22"/>
                <w:szCs w:val="22"/>
              </w:rPr>
              <w:t>, Samantha L.E. Vinzenz</w:t>
            </w:r>
            <w:r w:rsidRPr="00997799">
              <w:rPr>
                <w:rFonts w:ascii="Arial" w:hAnsi="Arial" w:cs="Arial"/>
                <w:color w:val="000000" w:themeColor="text1"/>
                <w:sz w:val="22"/>
                <w:szCs w:val="22"/>
                <w:vertAlign w:val="superscript"/>
              </w:rPr>
              <w:t>1</w:t>
            </w:r>
            <w:r w:rsidRPr="00997799">
              <w:rPr>
                <w:rFonts w:ascii="Arial" w:hAnsi="Arial" w:cs="Arial"/>
                <w:color w:val="000000" w:themeColor="text1"/>
                <w:sz w:val="22"/>
                <w:szCs w:val="22"/>
              </w:rPr>
              <w:t>, Richard Y. Kim</w:t>
            </w:r>
            <w:r w:rsidRPr="00997799">
              <w:rPr>
                <w:rFonts w:ascii="Arial" w:hAnsi="Arial" w:cs="Arial"/>
                <w:color w:val="000000" w:themeColor="text1"/>
                <w:sz w:val="22"/>
                <w:szCs w:val="22"/>
                <w:vertAlign w:val="superscript"/>
              </w:rPr>
              <w:t>1,</w:t>
            </w:r>
            <w:r w:rsidR="00D56B04" w:rsidRPr="00997799">
              <w:rPr>
                <w:rFonts w:ascii="Arial" w:hAnsi="Arial" w:cs="Arial"/>
                <w:color w:val="000000" w:themeColor="text1"/>
                <w:sz w:val="22"/>
                <w:szCs w:val="22"/>
                <w:vertAlign w:val="superscript"/>
              </w:rPr>
              <w:t>2</w:t>
            </w:r>
            <w:r w:rsidRPr="00997799">
              <w:rPr>
                <w:rFonts w:ascii="Arial" w:hAnsi="Arial" w:cs="Arial"/>
                <w:color w:val="000000" w:themeColor="text1"/>
                <w:sz w:val="22"/>
                <w:szCs w:val="22"/>
              </w:rPr>
              <w:t>, Chantal Donovan</w:t>
            </w:r>
            <w:r w:rsidRPr="00997799">
              <w:rPr>
                <w:rFonts w:ascii="Arial" w:hAnsi="Arial" w:cs="Arial"/>
                <w:color w:val="000000" w:themeColor="text1"/>
                <w:sz w:val="22"/>
                <w:szCs w:val="22"/>
                <w:vertAlign w:val="superscript"/>
              </w:rPr>
              <w:t>1,</w:t>
            </w:r>
            <w:r w:rsidR="00D56B04" w:rsidRPr="00997799">
              <w:rPr>
                <w:rFonts w:ascii="Arial" w:hAnsi="Arial" w:cs="Arial"/>
                <w:color w:val="000000" w:themeColor="text1"/>
                <w:sz w:val="22"/>
                <w:szCs w:val="22"/>
                <w:vertAlign w:val="superscript"/>
              </w:rPr>
              <w:t>2</w:t>
            </w:r>
            <w:r w:rsidRPr="00997799">
              <w:rPr>
                <w:rFonts w:ascii="Arial" w:hAnsi="Arial" w:cs="Arial"/>
                <w:color w:val="000000" w:themeColor="text1"/>
                <w:sz w:val="22"/>
                <w:szCs w:val="22"/>
              </w:rPr>
              <w:t xml:space="preserve">, </w:t>
            </w:r>
            <w:r w:rsidR="007A4F13" w:rsidRPr="00997799">
              <w:rPr>
                <w:rFonts w:ascii="Arial" w:hAnsi="Arial" w:cs="Arial"/>
                <w:color w:val="000000" w:themeColor="text1"/>
                <w:sz w:val="22"/>
                <w:szCs w:val="22"/>
              </w:rPr>
              <w:t>Evan J. Williams</w:t>
            </w:r>
            <w:r w:rsidR="007A4F13" w:rsidRPr="00997799">
              <w:rPr>
                <w:rFonts w:ascii="Arial" w:hAnsi="Arial" w:cs="Arial"/>
                <w:color w:val="000000" w:themeColor="text1"/>
                <w:sz w:val="22"/>
                <w:szCs w:val="22"/>
                <w:vertAlign w:val="superscript"/>
              </w:rPr>
              <w:t>1</w:t>
            </w:r>
            <w:r w:rsidR="00DC54CE">
              <w:rPr>
                <w:rFonts w:ascii="Arial" w:hAnsi="Arial" w:cs="Arial"/>
                <w:color w:val="000000" w:themeColor="text1"/>
                <w:sz w:val="22"/>
                <w:szCs w:val="22"/>
              </w:rPr>
              <w:t>,</w:t>
            </w:r>
            <w:r w:rsidR="00DC54CE">
              <w:rPr>
                <w:rFonts w:ascii="Arial" w:hAnsi="Arial" w:cs="Arial"/>
                <w:color w:val="000000" w:themeColor="text1"/>
                <w:sz w:val="22"/>
                <w:szCs w:val="22"/>
                <w:vertAlign w:val="superscript"/>
              </w:rPr>
              <w:t xml:space="preserve"> </w:t>
            </w:r>
            <w:r w:rsidRPr="00997799">
              <w:rPr>
                <w:rFonts w:ascii="Arial" w:hAnsi="Arial" w:cs="Arial"/>
                <w:color w:val="000000" w:themeColor="text1"/>
                <w:sz w:val="22"/>
                <w:szCs w:val="22"/>
              </w:rPr>
              <w:t>Katherine J. Baines</w:t>
            </w:r>
            <w:r w:rsidRPr="00997799">
              <w:rPr>
                <w:rFonts w:ascii="Arial" w:hAnsi="Arial" w:cs="Arial"/>
                <w:color w:val="000000" w:themeColor="text1"/>
                <w:sz w:val="22"/>
                <w:szCs w:val="22"/>
                <w:vertAlign w:val="superscript"/>
              </w:rPr>
              <w:t>1</w:t>
            </w:r>
            <w:r w:rsidRPr="00997799">
              <w:rPr>
                <w:rFonts w:ascii="Arial" w:hAnsi="Arial" w:cs="Arial"/>
                <w:color w:val="000000" w:themeColor="text1"/>
                <w:sz w:val="22"/>
                <w:szCs w:val="22"/>
              </w:rPr>
              <w:t>, Bronwyn S. Berthon</w:t>
            </w:r>
            <w:r w:rsidRPr="00997799">
              <w:rPr>
                <w:rFonts w:ascii="Arial" w:hAnsi="Arial" w:cs="Arial"/>
                <w:color w:val="000000" w:themeColor="text1"/>
                <w:sz w:val="22"/>
                <w:szCs w:val="22"/>
                <w:vertAlign w:val="superscript"/>
              </w:rPr>
              <w:t>1</w:t>
            </w:r>
            <w:r w:rsidRPr="00997799">
              <w:rPr>
                <w:rFonts w:ascii="Arial" w:hAnsi="Arial" w:cs="Arial"/>
                <w:color w:val="000000" w:themeColor="text1"/>
                <w:sz w:val="22"/>
                <w:szCs w:val="22"/>
              </w:rPr>
              <w:t>,</w:t>
            </w:r>
            <w:r w:rsidR="00DC54CE">
              <w:rPr>
                <w:rFonts w:ascii="Arial" w:hAnsi="Arial" w:cs="Arial"/>
                <w:color w:val="000000" w:themeColor="text1"/>
                <w:sz w:val="22"/>
                <w:szCs w:val="22"/>
              </w:rPr>
              <w:t xml:space="preserve"> </w:t>
            </w:r>
            <w:r w:rsidRPr="00997799">
              <w:rPr>
                <w:rFonts w:ascii="Arial" w:hAnsi="Arial" w:cs="Arial"/>
                <w:color w:val="000000" w:themeColor="text1"/>
                <w:sz w:val="22"/>
                <w:szCs w:val="22"/>
              </w:rPr>
              <w:t>James W. Pinkerton</w:t>
            </w:r>
            <w:r w:rsidR="00D56B04" w:rsidRPr="00997799">
              <w:rPr>
                <w:rFonts w:ascii="Arial" w:hAnsi="Arial" w:cs="Arial"/>
                <w:color w:val="000000" w:themeColor="text1"/>
                <w:sz w:val="22"/>
                <w:szCs w:val="22"/>
                <w:vertAlign w:val="superscript"/>
              </w:rPr>
              <w:t>3</w:t>
            </w:r>
            <w:r w:rsidRPr="00997799">
              <w:rPr>
                <w:rFonts w:ascii="Arial" w:hAnsi="Arial" w:cs="Arial"/>
                <w:color w:val="000000" w:themeColor="text1"/>
                <w:sz w:val="22"/>
                <w:szCs w:val="22"/>
              </w:rPr>
              <w:t xml:space="preserve">, </w:t>
            </w:r>
            <w:r w:rsidR="007A4F13">
              <w:rPr>
                <w:rFonts w:ascii="Arial" w:hAnsi="Arial" w:cs="Arial"/>
                <w:color w:val="000000" w:themeColor="text1"/>
                <w:sz w:val="22"/>
                <w:szCs w:val="22"/>
              </w:rPr>
              <w:t>Philip M. Hansbro</w:t>
            </w:r>
            <w:r w:rsidR="007A4F13">
              <w:rPr>
                <w:rFonts w:ascii="Arial" w:hAnsi="Arial" w:cs="Arial"/>
                <w:color w:val="000000" w:themeColor="text1"/>
                <w:sz w:val="22"/>
                <w:szCs w:val="22"/>
                <w:vertAlign w:val="superscript"/>
              </w:rPr>
              <w:t>4</w:t>
            </w:r>
            <w:r w:rsidRPr="00997799">
              <w:rPr>
                <w:rFonts w:ascii="Arial" w:hAnsi="Arial" w:cs="Arial"/>
                <w:color w:val="000000" w:themeColor="text1"/>
                <w:sz w:val="22"/>
                <w:szCs w:val="22"/>
              </w:rPr>
              <w:t>, Peter A.B. Wark</w:t>
            </w:r>
            <w:r w:rsidRPr="00997799">
              <w:rPr>
                <w:rFonts w:ascii="Arial" w:hAnsi="Arial" w:cs="Arial"/>
                <w:color w:val="000000" w:themeColor="text1"/>
                <w:sz w:val="22"/>
                <w:szCs w:val="22"/>
                <w:vertAlign w:val="superscript"/>
              </w:rPr>
              <w:t>1</w:t>
            </w:r>
            <w:r w:rsidR="00997799" w:rsidRPr="00997799">
              <w:rPr>
                <w:rFonts w:ascii="Arial" w:hAnsi="Arial" w:cs="Arial"/>
                <w:color w:val="000000" w:themeColor="text1"/>
                <w:sz w:val="22"/>
                <w:szCs w:val="22"/>
                <w:vertAlign w:val="superscript"/>
              </w:rPr>
              <w:t>,5,6</w:t>
            </w:r>
            <w:r w:rsidR="007A4F13">
              <w:rPr>
                <w:rFonts w:ascii="Arial" w:hAnsi="Arial" w:cs="Arial"/>
                <w:color w:val="000000" w:themeColor="text1"/>
                <w:sz w:val="22"/>
                <w:szCs w:val="22"/>
                <w:vertAlign w:val="superscript"/>
              </w:rPr>
              <w:t>,7</w:t>
            </w:r>
            <w:r w:rsidR="007A4F13">
              <w:rPr>
                <w:rFonts w:ascii="Arial" w:hAnsi="Arial" w:cs="Arial"/>
                <w:color w:val="000000" w:themeColor="text1"/>
                <w:sz w:val="22"/>
                <w:szCs w:val="22"/>
              </w:rPr>
              <w:t>,</w:t>
            </w:r>
            <w:r w:rsidR="007A4F13" w:rsidRPr="00997799">
              <w:rPr>
                <w:rFonts w:ascii="Arial" w:hAnsi="Arial" w:cs="Arial"/>
                <w:color w:val="000000" w:themeColor="text1"/>
                <w:sz w:val="22"/>
                <w:szCs w:val="22"/>
              </w:rPr>
              <w:t xml:space="preserve"> </w:t>
            </w:r>
            <w:r w:rsidR="007A4F13" w:rsidRPr="00997799">
              <w:rPr>
                <w:rFonts w:ascii="Arial" w:hAnsi="Arial" w:cs="Arial"/>
                <w:color w:val="000000" w:themeColor="text1"/>
                <w:sz w:val="22"/>
                <w:szCs w:val="22"/>
              </w:rPr>
              <w:t>Paul S. Foster</w:t>
            </w:r>
            <w:r w:rsidR="007A4F13" w:rsidRPr="00997799">
              <w:rPr>
                <w:rFonts w:ascii="Arial" w:hAnsi="Arial" w:cs="Arial"/>
                <w:color w:val="000000" w:themeColor="text1"/>
                <w:sz w:val="22"/>
                <w:szCs w:val="22"/>
                <w:vertAlign w:val="superscript"/>
              </w:rPr>
              <w:t>1</w:t>
            </w:r>
            <w:r w:rsidR="00015790">
              <w:rPr>
                <w:rFonts w:ascii="Arial" w:hAnsi="Arial" w:cs="Arial"/>
                <w:color w:val="000000" w:themeColor="text1"/>
                <w:sz w:val="22"/>
                <w:szCs w:val="22"/>
              </w:rPr>
              <w:t>,</w:t>
            </w:r>
            <w:r w:rsidR="00015790">
              <w:rPr>
                <w:rFonts w:ascii="Arial" w:hAnsi="Arial" w:cs="Arial"/>
                <w:color w:val="000000" w:themeColor="text1"/>
                <w:sz w:val="22"/>
                <w:szCs w:val="22"/>
                <w:vertAlign w:val="superscript"/>
              </w:rPr>
              <w:t xml:space="preserve"> </w:t>
            </w:r>
            <w:r w:rsidR="007A4F13" w:rsidRPr="00997799">
              <w:rPr>
                <w:rFonts w:ascii="Arial" w:hAnsi="Arial" w:cs="Arial"/>
                <w:color w:val="000000" w:themeColor="text1"/>
                <w:sz w:val="22"/>
                <w:szCs w:val="22"/>
              </w:rPr>
              <w:t>Katie Wynne</w:t>
            </w:r>
            <w:r w:rsidR="007A4F13" w:rsidRPr="00997799">
              <w:rPr>
                <w:rFonts w:ascii="Arial" w:hAnsi="Arial" w:cs="Arial"/>
                <w:color w:val="000000" w:themeColor="text1"/>
                <w:sz w:val="22"/>
                <w:szCs w:val="22"/>
                <w:vertAlign w:val="superscript"/>
              </w:rPr>
              <w:t>1</w:t>
            </w:r>
            <w:r w:rsidR="007A4F13" w:rsidRPr="00997799">
              <w:rPr>
                <w:rFonts w:ascii="Arial" w:hAnsi="Arial" w:cs="Arial"/>
                <w:color w:val="000000" w:themeColor="text1"/>
                <w:sz w:val="22"/>
                <w:szCs w:val="22"/>
              </w:rPr>
              <w:t>, Hayley A. Scott</w:t>
            </w:r>
            <w:r w:rsidR="007A4F13" w:rsidRPr="00997799">
              <w:rPr>
                <w:rFonts w:ascii="Arial" w:hAnsi="Arial" w:cs="Arial"/>
                <w:color w:val="000000" w:themeColor="text1"/>
                <w:sz w:val="22"/>
                <w:szCs w:val="22"/>
                <w:vertAlign w:val="superscript"/>
              </w:rPr>
              <w:t>1</w:t>
            </w:r>
            <w:r w:rsidRPr="00997799">
              <w:rPr>
                <w:rFonts w:ascii="Arial" w:hAnsi="Arial" w:cs="Arial"/>
                <w:color w:val="000000" w:themeColor="text1"/>
                <w:sz w:val="22"/>
                <w:szCs w:val="22"/>
              </w:rPr>
              <w:t>, Lisa G. Wood</w:t>
            </w:r>
            <w:r w:rsidRPr="00997799">
              <w:rPr>
                <w:rFonts w:ascii="Arial" w:hAnsi="Arial" w:cs="Arial"/>
                <w:color w:val="000000" w:themeColor="text1"/>
                <w:sz w:val="22"/>
                <w:szCs w:val="22"/>
                <w:vertAlign w:val="superscript"/>
              </w:rPr>
              <w:t>1</w:t>
            </w:r>
            <w:r w:rsidRPr="00997799">
              <w:rPr>
                <w:rFonts w:ascii="Arial" w:hAnsi="Arial" w:cs="Arial"/>
                <w:color w:val="000000" w:themeColor="text1"/>
                <w:sz w:val="22"/>
                <w:szCs w:val="22"/>
              </w:rPr>
              <w:t>, Jay C. Horvat</w:t>
            </w:r>
            <w:r w:rsidRPr="00997799">
              <w:rPr>
                <w:rFonts w:ascii="Arial" w:hAnsi="Arial" w:cs="Arial"/>
                <w:color w:val="000000" w:themeColor="text1"/>
                <w:sz w:val="22"/>
                <w:szCs w:val="22"/>
                <w:vertAlign w:val="superscript"/>
              </w:rPr>
              <w:t>1</w:t>
            </w:r>
          </w:p>
        </w:tc>
      </w:tr>
      <w:tr w:rsidR="00997799" w:rsidRPr="00997799" w14:paraId="385A19D9" w14:textId="77777777" w:rsidTr="00566AC8">
        <w:trPr>
          <w:trHeight w:val="136"/>
          <w:jc w:val="center"/>
        </w:trPr>
        <w:tc>
          <w:tcPr>
            <w:tcW w:w="9212" w:type="dxa"/>
            <w:shd w:val="clear" w:color="auto" w:fill="auto"/>
          </w:tcPr>
          <w:p w14:paraId="45ED36BF" w14:textId="1F53EBC6" w:rsidR="001564A4" w:rsidRPr="00997799" w:rsidRDefault="00566AC8" w:rsidP="00015790">
            <w:pPr>
              <w:spacing w:before="120" w:after="120"/>
              <w:jc w:val="both"/>
              <w:rPr>
                <w:rFonts w:ascii="Arial" w:hAnsi="Arial" w:cs="Arial"/>
                <w:color w:val="000000" w:themeColor="text1"/>
                <w:sz w:val="22"/>
                <w:szCs w:val="22"/>
              </w:rPr>
            </w:pPr>
            <w:r w:rsidRPr="00997799">
              <w:rPr>
                <w:rFonts w:ascii="Arial" w:hAnsi="Arial" w:cs="Arial"/>
                <w:b/>
                <w:bCs/>
                <w:color w:val="000000" w:themeColor="text1"/>
                <w:sz w:val="22"/>
                <w:szCs w:val="22"/>
                <w:vertAlign w:val="superscript"/>
              </w:rPr>
              <w:t>1</w:t>
            </w:r>
            <w:r w:rsidRPr="00997799">
              <w:rPr>
                <w:rFonts w:ascii="Arial" w:eastAsia="Calibri" w:hAnsi="Arial" w:cs="Arial"/>
                <w:color w:val="000000" w:themeColor="text1"/>
                <w:sz w:val="22"/>
                <w:szCs w:val="22"/>
              </w:rPr>
              <w:t>University of Newcastle and Immune Health Program, Hunter Medical Research Institute  Newcastle, New South Wales, Australia</w:t>
            </w:r>
            <w:r w:rsidRPr="00997799">
              <w:rPr>
                <w:rFonts w:ascii="Arial" w:hAnsi="Arial" w:cs="Arial"/>
                <w:color w:val="000000" w:themeColor="text1"/>
                <w:sz w:val="22"/>
                <w:szCs w:val="22"/>
              </w:rPr>
              <w:t xml:space="preserve">, </w:t>
            </w:r>
            <w:r w:rsidR="00D56B04" w:rsidRPr="00997799">
              <w:rPr>
                <w:rFonts w:ascii="Arial" w:hAnsi="Arial" w:cs="Arial"/>
                <w:color w:val="000000" w:themeColor="text1"/>
                <w:sz w:val="22"/>
                <w:szCs w:val="22"/>
                <w:vertAlign w:val="superscript"/>
              </w:rPr>
              <w:t>2</w:t>
            </w:r>
            <w:r w:rsidRPr="00997799">
              <w:rPr>
                <w:rFonts w:ascii="Arial" w:eastAsia="Calibri" w:hAnsi="Arial" w:cs="Arial"/>
                <w:color w:val="000000" w:themeColor="text1"/>
                <w:sz w:val="22"/>
                <w:szCs w:val="22"/>
              </w:rPr>
              <w:t>School of Life Sciences, Faculty of Science, University of Technology Sydney, Sydney, New South Wales, Australia</w:t>
            </w:r>
            <w:r w:rsidRPr="00997799">
              <w:rPr>
                <w:rFonts w:ascii="Arial" w:hAnsi="Arial" w:cs="Arial"/>
                <w:color w:val="000000" w:themeColor="text1"/>
                <w:sz w:val="22"/>
                <w:szCs w:val="22"/>
              </w:rPr>
              <w:t xml:space="preserve">, </w:t>
            </w:r>
            <w:r w:rsidR="00D56B04" w:rsidRPr="00997799">
              <w:rPr>
                <w:rFonts w:ascii="Arial" w:eastAsia="Calibri" w:hAnsi="Arial" w:cs="Arial"/>
                <w:color w:val="000000" w:themeColor="text1"/>
                <w:sz w:val="22"/>
                <w:szCs w:val="22"/>
                <w:vertAlign w:val="superscript"/>
              </w:rPr>
              <w:t>3</w:t>
            </w:r>
            <w:r w:rsidRPr="00997799">
              <w:rPr>
                <w:rFonts w:ascii="Arial" w:eastAsia="Calibri" w:hAnsi="Arial" w:cs="Arial"/>
                <w:color w:val="000000" w:themeColor="text1"/>
                <w:sz w:val="22"/>
                <w:szCs w:val="22"/>
              </w:rPr>
              <w:t>Respiratory Pharmacology &amp; Toxicology Group, National Heart &amp; Lung Institute, Imperial College London, London, United Kingdom</w:t>
            </w:r>
            <w:r w:rsidR="00997799" w:rsidRPr="00997799">
              <w:rPr>
                <w:rFonts w:ascii="Arial" w:eastAsia="Calibri" w:hAnsi="Arial" w:cs="Arial"/>
                <w:color w:val="000000" w:themeColor="text1"/>
                <w:sz w:val="22"/>
                <w:szCs w:val="22"/>
              </w:rPr>
              <w:t>,</w:t>
            </w:r>
            <w:r w:rsidR="007A4F13">
              <w:rPr>
                <w:rFonts w:ascii="Arial" w:eastAsia="Calibri" w:hAnsi="Arial" w:cs="Arial"/>
                <w:color w:val="000000" w:themeColor="text1"/>
                <w:sz w:val="22"/>
                <w:szCs w:val="22"/>
              </w:rPr>
              <w:t xml:space="preserve"> </w:t>
            </w:r>
            <w:r w:rsidR="007A4F13">
              <w:rPr>
                <w:rFonts w:ascii="Arial" w:hAnsi="Arial" w:cs="Arial"/>
                <w:b/>
                <w:bCs/>
                <w:sz w:val="22"/>
                <w:szCs w:val="22"/>
                <w:vertAlign w:val="superscript"/>
              </w:rPr>
              <w:t>4</w:t>
            </w:r>
            <w:r w:rsidR="007A4F13" w:rsidRPr="00CC4632">
              <w:rPr>
                <w:rFonts w:ascii="Arial" w:eastAsia="Calibri" w:hAnsi="Arial" w:cs="Arial"/>
                <w:color w:val="000000"/>
                <w:sz w:val="22"/>
                <w:szCs w:val="22"/>
              </w:rPr>
              <w:t>Centre for Inflammation, Centenary Institute, and Faculty of Science, University of Technology Sydney, Sydney, New South Wales, Australia</w:t>
            </w:r>
            <w:r w:rsidR="007A4F13" w:rsidRPr="00CC4632">
              <w:rPr>
                <w:rFonts w:ascii="Arial" w:hAnsi="Arial" w:cs="Arial"/>
                <w:sz w:val="22"/>
                <w:szCs w:val="22"/>
              </w:rPr>
              <w:t>,</w:t>
            </w:r>
            <w:r w:rsidR="00997799" w:rsidRPr="00997799">
              <w:rPr>
                <w:rFonts w:ascii="Arial" w:eastAsia="Calibri" w:hAnsi="Arial" w:cs="Arial"/>
                <w:color w:val="000000" w:themeColor="text1"/>
                <w:sz w:val="22"/>
                <w:szCs w:val="22"/>
              </w:rPr>
              <w:t xml:space="preserve"> </w:t>
            </w:r>
            <w:r w:rsidR="007A4F13">
              <w:rPr>
                <w:rFonts w:ascii="Arial" w:hAnsi="Arial" w:cs="Arial"/>
                <w:color w:val="000000" w:themeColor="text1"/>
                <w:sz w:val="22"/>
                <w:szCs w:val="22"/>
                <w:vertAlign w:val="superscript"/>
                <w:lang w:val="en-US" w:eastAsia="en-GB"/>
              </w:rPr>
              <w:t>5</w:t>
            </w:r>
            <w:r w:rsidR="00997799" w:rsidRPr="00997799">
              <w:rPr>
                <w:rFonts w:ascii="Arial" w:hAnsi="Arial" w:cs="Arial"/>
                <w:color w:val="000000" w:themeColor="text1"/>
                <w:sz w:val="22"/>
                <w:szCs w:val="22"/>
              </w:rPr>
              <w:t>Department of Respiratory and Sleep Medicine, John Hunter Hospital, New Lambton Heights, New South Wales, Australia</w:t>
            </w:r>
            <w:r w:rsidR="00997799" w:rsidRPr="00997799">
              <w:rPr>
                <w:rFonts w:ascii="Arial" w:hAnsi="Arial" w:cs="Arial"/>
                <w:color w:val="000000" w:themeColor="text1"/>
                <w:sz w:val="22"/>
                <w:szCs w:val="22"/>
              </w:rPr>
              <w:t xml:space="preserve">, </w:t>
            </w:r>
            <w:r w:rsidR="007A4F13">
              <w:rPr>
                <w:rFonts w:ascii="Arial" w:hAnsi="Arial" w:cs="Arial"/>
                <w:color w:val="000000" w:themeColor="text1"/>
                <w:sz w:val="22"/>
                <w:szCs w:val="22"/>
                <w:vertAlign w:val="superscript"/>
              </w:rPr>
              <w:t>6</w:t>
            </w:r>
            <w:r w:rsidR="00997799" w:rsidRPr="00997799">
              <w:rPr>
                <w:rFonts w:ascii="Arial" w:hAnsi="Arial" w:cs="Arial"/>
                <w:color w:val="000000" w:themeColor="text1"/>
                <w:sz w:val="22"/>
                <w:szCs w:val="22"/>
              </w:rPr>
              <w:t>School of Medicine, Monash University, Melbourne, Victoria, Australia</w:t>
            </w:r>
            <w:r w:rsidR="00997799" w:rsidRPr="00997799">
              <w:rPr>
                <w:rFonts w:ascii="Arial" w:hAnsi="Arial" w:cs="Arial"/>
                <w:color w:val="000000" w:themeColor="text1"/>
                <w:sz w:val="22"/>
                <w:szCs w:val="22"/>
              </w:rPr>
              <w:t xml:space="preserve">, </w:t>
            </w:r>
            <w:r w:rsidR="007A4F13">
              <w:rPr>
                <w:rFonts w:ascii="Arial" w:hAnsi="Arial" w:cs="Arial"/>
                <w:color w:val="000000" w:themeColor="text1"/>
                <w:sz w:val="22"/>
                <w:szCs w:val="22"/>
                <w:vertAlign w:val="superscript"/>
              </w:rPr>
              <w:t>7</w:t>
            </w:r>
            <w:r w:rsidR="00997799" w:rsidRPr="00997799">
              <w:rPr>
                <w:rFonts w:ascii="Arial" w:hAnsi="Arial" w:cs="Arial"/>
                <w:color w:val="000000" w:themeColor="text1"/>
                <w:sz w:val="22"/>
                <w:szCs w:val="22"/>
              </w:rPr>
              <w:t>AIRMED Alfred Health, Melbourne, Victoria, Australia.</w:t>
            </w:r>
          </w:p>
        </w:tc>
      </w:tr>
      <w:tr w:rsidR="00997799" w:rsidRPr="00997799" w14:paraId="6DAF615A" w14:textId="77777777" w:rsidTr="00FD1D09">
        <w:trPr>
          <w:trHeight w:hRule="exact" w:val="7690"/>
          <w:jc w:val="center"/>
        </w:trPr>
        <w:tc>
          <w:tcPr>
            <w:tcW w:w="9212" w:type="dxa"/>
            <w:shd w:val="clear" w:color="auto" w:fill="auto"/>
          </w:tcPr>
          <w:p w14:paraId="3D770CF7" w14:textId="22BF8E73" w:rsidR="001564A4" w:rsidRPr="00997799" w:rsidRDefault="001564A4" w:rsidP="00566AC8">
            <w:pPr>
              <w:pStyle w:val="Pa12"/>
              <w:jc w:val="both"/>
              <w:rPr>
                <w:rStyle w:val="A4"/>
                <w:color w:val="000000" w:themeColor="text1"/>
              </w:rPr>
            </w:pPr>
            <w:r w:rsidRPr="00997799">
              <w:rPr>
                <w:rStyle w:val="A4"/>
                <w:b/>
                <w:bCs/>
                <w:color w:val="000000" w:themeColor="text1"/>
              </w:rPr>
              <w:t xml:space="preserve">Introduction: </w:t>
            </w:r>
            <w:r w:rsidR="00566AC8" w:rsidRPr="00997799">
              <w:rPr>
                <w:color w:val="000000" w:themeColor="text1"/>
                <w:sz w:val="22"/>
                <w:szCs w:val="22"/>
              </w:rPr>
              <w:t xml:space="preserve">Obesity </w:t>
            </w:r>
            <w:r w:rsidR="001F08EC" w:rsidRPr="00997799">
              <w:rPr>
                <w:color w:val="000000" w:themeColor="text1"/>
                <w:sz w:val="22"/>
                <w:szCs w:val="22"/>
              </w:rPr>
              <w:t>is</w:t>
            </w:r>
            <w:r w:rsidR="00566AC8" w:rsidRPr="00997799">
              <w:rPr>
                <w:color w:val="000000" w:themeColor="text1"/>
                <w:sz w:val="22"/>
                <w:szCs w:val="22"/>
              </w:rPr>
              <w:t xml:space="preserve"> linked with severe lung disease, especially in females. Indeed, obese, female asthma is </w:t>
            </w:r>
            <w:r w:rsidR="00FD1D09" w:rsidRPr="00997799">
              <w:rPr>
                <w:color w:val="000000" w:themeColor="text1"/>
                <w:sz w:val="22"/>
                <w:szCs w:val="22"/>
              </w:rPr>
              <w:t xml:space="preserve">a </w:t>
            </w:r>
            <w:r w:rsidR="00566AC8" w:rsidRPr="00997799">
              <w:rPr>
                <w:color w:val="000000" w:themeColor="text1"/>
                <w:sz w:val="22"/>
                <w:szCs w:val="22"/>
              </w:rPr>
              <w:t xml:space="preserve">recognised distinct subtype of severe asthma </w:t>
            </w:r>
            <w:r w:rsidR="001F08EC" w:rsidRPr="00997799">
              <w:rPr>
                <w:color w:val="000000" w:themeColor="text1"/>
                <w:sz w:val="22"/>
                <w:szCs w:val="22"/>
              </w:rPr>
              <w:t xml:space="preserve">with </w:t>
            </w:r>
            <w:r w:rsidR="00566AC8" w:rsidRPr="00997799">
              <w:rPr>
                <w:color w:val="000000" w:themeColor="text1"/>
                <w:sz w:val="22"/>
                <w:szCs w:val="22"/>
              </w:rPr>
              <w:t xml:space="preserve">poor therapeutic options. The mechanisms underpinning </w:t>
            </w:r>
            <w:r w:rsidR="001F08EC" w:rsidRPr="00997799">
              <w:rPr>
                <w:color w:val="000000" w:themeColor="text1"/>
                <w:sz w:val="22"/>
                <w:szCs w:val="22"/>
              </w:rPr>
              <w:t>this</w:t>
            </w:r>
            <w:r w:rsidR="00566AC8" w:rsidRPr="00997799">
              <w:rPr>
                <w:color w:val="000000" w:themeColor="text1"/>
                <w:sz w:val="22"/>
                <w:szCs w:val="22"/>
              </w:rPr>
              <w:t xml:space="preserve"> association between obesity and severe lung disease, and why the effects of obesity on asthma occur mainly in females, remains unknown. We have previously shown that obesity-associated increases in macronutrients are associated with altered airway inflammation </w:t>
            </w:r>
            <w:r w:rsidR="00FD1D09" w:rsidRPr="00997799">
              <w:rPr>
                <w:color w:val="000000" w:themeColor="text1"/>
                <w:sz w:val="22"/>
                <w:szCs w:val="22"/>
              </w:rPr>
              <w:t>in asthmatics</w:t>
            </w:r>
            <w:r w:rsidR="00566AC8" w:rsidRPr="00997799">
              <w:rPr>
                <w:rStyle w:val="apple-converted-space"/>
                <w:color w:val="000000" w:themeColor="text1"/>
                <w:sz w:val="22"/>
                <w:szCs w:val="22"/>
              </w:rPr>
              <w:t> </w:t>
            </w:r>
            <w:r w:rsidR="00566AC8" w:rsidRPr="00997799">
              <w:rPr>
                <w:color w:val="000000" w:themeColor="text1"/>
                <w:sz w:val="22"/>
                <w:szCs w:val="22"/>
              </w:rPr>
              <w:t>and that</w:t>
            </w:r>
            <w:r w:rsidR="00566AC8" w:rsidRPr="00997799">
              <w:rPr>
                <w:rStyle w:val="apple-converted-space"/>
                <w:color w:val="000000" w:themeColor="text1"/>
                <w:sz w:val="22"/>
                <w:szCs w:val="22"/>
              </w:rPr>
              <w:t> </w:t>
            </w:r>
            <w:r w:rsidR="00566AC8" w:rsidRPr="00997799">
              <w:rPr>
                <w:color w:val="000000" w:themeColor="text1"/>
                <w:sz w:val="22"/>
                <w:szCs w:val="22"/>
              </w:rPr>
              <w:t xml:space="preserve">the oral contraceptive pill (OCP) protects against airway inflammation and disease symptoms in both lean and obese </w:t>
            </w:r>
            <w:r w:rsidR="00DF0BDA" w:rsidRPr="00997799">
              <w:rPr>
                <w:color w:val="000000" w:themeColor="text1"/>
                <w:sz w:val="22"/>
                <w:szCs w:val="22"/>
              </w:rPr>
              <w:t>female asthmatics</w:t>
            </w:r>
            <w:r w:rsidR="00566AC8" w:rsidRPr="00997799">
              <w:rPr>
                <w:color w:val="000000" w:themeColor="text1"/>
                <w:sz w:val="22"/>
                <w:szCs w:val="22"/>
              </w:rPr>
              <w:t xml:space="preserve">. </w:t>
            </w:r>
            <w:r w:rsidR="00DF0BDA" w:rsidRPr="00997799">
              <w:rPr>
                <w:color w:val="000000" w:themeColor="text1"/>
                <w:sz w:val="22"/>
                <w:szCs w:val="22"/>
              </w:rPr>
              <w:t>Here,</w:t>
            </w:r>
            <w:r w:rsidR="00566AC8" w:rsidRPr="00997799">
              <w:rPr>
                <w:color w:val="000000" w:themeColor="text1"/>
                <w:sz w:val="22"/>
                <w:szCs w:val="22"/>
              </w:rPr>
              <w:t xml:space="preserve"> we </w:t>
            </w:r>
            <w:r w:rsidR="00532A2C">
              <w:rPr>
                <w:color w:val="000000" w:themeColor="text1"/>
                <w:sz w:val="22"/>
                <w:szCs w:val="22"/>
              </w:rPr>
              <w:t>aimed to investigate</w:t>
            </w:r>
            <w:r w:rsidR="00566AC8" w:rsidRPr="00997799">
              <w:rPr>
                <w:color w:val="000000" w:themeColor="text1"/>
                <w:sz w:val="22"/>
                <w:szCs w:val="22"/>
              </w:rPr>
              <w:t xml:space="preserve"> how excess glucose levels and the OCP affect the pathogenesis of disease in experimental models of obese and non-obese asthma.</w:t>
            </w:r>
          </w:p>
          <w:p w14:paraId="1B39336E" w14:textId="13ED36B9" w:rsidR="001564A4" w:rsidRPr="00997799" w:rsidRDefault="001564A4" w:rsidP="00566AC8">
            <w:pPr>
              <w:pStyle w:val="Pa12"/>
              <w:jc w:val="both"/>
              <w:rPr>
                <w:rStyle w:val="A4"/>
                <w:b/>
                <w:bCs/>
                <w:color w:val="000000" w:themeColor="text1"/>
              </w:rPr>
            </w:pPr>
            <w:r w:rsidRPr="00997799">
              <w:rPr>
                <w:rStyle w:val="A4"/>
                <w:b/>
                <w:bCs/>
                <w:color w:val="000000" w:themeColor="text1"/>
              </w:rPr>
              <w:t xml:space="preserve">Methods: </w:t>
            </w:r>
            <w:r w:rsidR="00566AC8" w:rsidRPr="00997799">
              <w:rPr>
                <w:color w:val="000000" w:themeColor="text1"/>
                <w:sz w:val="22"/>
                <w:szCs w:val="22"/>
              </w:rPr>
              <w:t xml:space="preserve">We assessed the effects of </w:t>
            </w:r>
            <w:r w:rsidR="00FD1D09" w:rsidRPr="00997799">
              <w:rPr>
                <w:color w:val="000000" w:themeColor="text1"/>
                <w:sz w:val="22"/>
                <w:szCs w:val="22"/>
              </w:rPr>
              <w:t>the glucose lowering drug, AZD1656</w:t>
            </w:r>
            <w:r w:rsidR="00FD1D09" w:rsidRPr="00997799">
              <w:rPr>
                <w:color w:val="000000" w:themeColor="text1"/>
                <w:sz w:val="22"/>
                <w:szCs w:val="22"/>
              </w:rPr>
              <w:t xml:space="preserve">, or </w:t>
            </w:r>
            <w:r w:rsidR="00566AC8" w:rsidRPr="00997799">
              <w:rPr>
                <w:color w:val="000000" w:themeColor="text1"/>
                <w:sz w:val="22"/>
                <w:szCs w:val="22"/>
              </w:rPr>
              <w:t xml:space="preserve">oral </w:t>
            </w:r>
            <w:proofErr w:type="spellStart"/>
            <w:r w:rsidR="00566AC8" w:rsidRPr="00997799">
              <w:rPr>
                <w:color w:val="000000" w:themeColor="text1"/>
                <w:sz w:val="22"/>
                <w:szCs w:val="22"/>
              </w:rPr>
              <w:t>ethinylestradiol</w:t>
            </w:r>
            <w:proofErr w:type="spellEnd"/>
            <w:r w:rsidR="00566AC8" w:rsidRPr="00997799">
              <w:rPr>
                <w:color w:val="000000" w:themeColor="text1"/>
                <w:sz w:val="22"/>
                <w:szCs w:val="22"/>
              </w:rPr>
              <w:t>/levonorgestrel (representing the combined OCP) on blood glucose levels</w:t>
            </w:r>
            <w:r w:rsidR="00DF0BDA" w:rsidRPr="00997799">
              <w:rPr>
                <w:color w:val="000000" w:themeColor="text1"/>
                <w:sz w:val="22"/>
                <w:szCs w:val="22"/>
              </w:rPr>
              <w:t xml:space="preserve"> (BGL)</w:t>
            </w:r>
            <w:r w:rsidR="00566AC8" w:rsidRPr="00997799">
              <w:rPr>
                <w:color w:val="000000" w:themeColor="text1"/>
                <w:sz w:val="22"/>
                <w:szCs w:val="22"/>
              </w:rPr>
              <w:t>,</w:t>
            </w:r>
            <w:r w:rsidR="00DF0BDA" w:rsidRPr="00997799">
              <w:rPr>
                <w:color w:val="000000" w:themeColor="text1"/>
                <w:sz w:val="22"/>
                <w:szCs w:val="22"/>
              </w:rPr>
              <w:t xml:space="preserve"> glucose metabolism related gene expression,</w:t>
            </w:r>
            <w:r w:rsidR="00566AC8" w:rsidRPr="00997799">
              <w:rPr>
                <w:color w:val="000000" w:themeColor="text1"/>
                <w:sz w:val="22"/>
                <w:szCs w:val="22"/>
              </w:rPr>
              <w:t xml:space="preserve"> lung function and immune cell populations in bronchoalveolar fluid in obese and non-obese mice with and without experimental asthma.</w:t>
            </w:r>
          </w:p>
          <w:p w14:paraId="68537800" w14:textId="62205A17" w:rsidR="001564A4" w:rsidRPr="00997799" w:rsidRDefault="001564A4" w:rsidP="00566AC8">
            <w:pPr>
              <w:pStyle w:val="Pa12"/>
              <w:jc w:val="both"/>
              <w:rPr>
                <w:rStyle w:val="A4"/>
                <w:color w:val="000000" w:themeColor="text1"/>
              </w:rPr>
            </w:pPr>
            <w:r w:rsidRPr="00997799">
              <w:rPr>
                <w:rStyle w:val="A4"/>
                <w:b/>
                <w:bCs/>
                <w:color w:val="000000" w:themeColor="text1"/>
              </w:rPr>
              <w:t xml:space="preserve">Results: </w:t>
            </w:r>
            <w:r w:rsidR="00566AC8" w:rsidRPr="00997799">
              <w:rPr>
                <w:color w:val="000000" w:themeColor="text1"/>
                <w:sz w:val="22"/>
                <w:szCs w:val="22"/>
              </w:rPr>
              <w:t xml:space="preserve">We show that obesity is associated with increased </w:t>
            </w:r>
            <w:r w:rsidR="00DF0BDA" w:rsidRPr="00997799">
              <w:rPr>
                <w:color w:val="000000" w:themeColor="text1"/>
                <w:sz w:val="22"/>
                <w:szCs w:val="22"/>
              </w:rPr>
              <w:t>BGL</w:t>
            </w:r>
            <w:r w:rsidR="00566AC8" w:rsidRPr="00997799">
              <w:rPr>
                <w:color w:val="000000" w:themeColor="text1"/>
                <w:sz w:val="22"/>
                <w:szCs w:val="22"/>
              </w:rPr>
              <w:t xml:space="preserve"> and promotes severe, steroid-insensitive asthma in mice.</w:t>
            </w:r>
            <w:r w:rsidR="00566AC8" w:rsidRPr="00997799">
              <w:rPr>
                <w:color w:val="000000" w:themeColor="text1"/>
                <w:sz w:val="22"/>
                <w:szCs w:val="22"/>
              </w:rPr>
              <w:t xml:space="preserve"> Obesity in experimental asthma also </w:t>
            </w:r>
            <w:r w:rsidR="00DF0BDA" w:rsidRPr="00997799">
              <w:rPr>
                <w:color w:val="000000" w:themeColor="text1"/>
                <w:sz w:val="22"/>
                <w:szCs w:val="22"/>
              </w:rPr>
              <w:t>has significant effects on eosinophils in the airways, increasing the</w:t>
            </w:r>
            <w:r w:rsidR="00566AC8" w:rsidRPr="00997799">
              <w:rPr>
                <w:color w:val="000000" w:themeColor="text1"/>
                <w:sz w:val="22"/>
                <w:szCs w:val="22"/>
              </w:rPr>
              <w:t xml:space="preserve"> proportion expressing the glucose transporter, GLUT1.</w:t>
            </w:r>
            <w:r w:rsidR="00DF0BDA" w:rsidRPr="00997799">
              <w:rPr>
                <w:color w:val="000000" w:themeColor="text1"/>
                <w:sz w:val="22"/>
                <w:szCs w:val="22"/>
              </w:rPr>
              <w:t xml:space="preserve"> </w:t>
            </w:r>
            <w:r w:rsidR="00FD1D09" w:rsidRPr="00997799">
              <w:rPr>
                <w:color w:val="000000" w:themeColor="text1"/>
                <w:sz w:val="22"/>
                <w:szCs w:val="22"/>
              </w:rPr>
              <w:t>AZD1656 reduces BGL, airway eosinophils, and protects against disease in both obese and non-obese female experimental asthma.</w:t>
            </w:r>
            <w:r w:rsidR="00FD1D09" w:rsidRPr="00997799">
              <w:rPr>
                <w:rStyle w:val="A4"/>
                <w:color w:val="000000" w:themeColor="text1"/>
              </w:rPr>
              <w:t xml:space="preserve"> Importantly, </w:t>
            </w:r>
            <w:r w:rsidR="00FD1D09" w:rsidRPr="00997799">
              <w:rPr>
                <w:color w:val="000000" w:themeColor="text1"/>
                <w:sz w:val="22"/>
                <w:szCs w:val="22"/>
              </w:rPr>
              <w:t xml:space="preserve">the </w:t>
            </w:r>
            <w:r w:rsidR="00DF0BDA" w:rsidRPr="00997799">
              <w:rPr>
                <w:color w:val="000000" w:themeColor="text1"/>
                <w:sz w:val="22"/>
                <w:szCs w:val="22"/>
              </w:rPr>
              <w:t xml:space="preserve">OCP differentially alters dysregulated </w:t>
            </w:r>
            <w:r w:rsidR="001F08EC" w:rsidRPr="00997799">
              <w:rPr>
                <w:color w:val="000000" w:themeColor="text1"/>
                <w:sz w:val="22"/>
                <w:szCs w:val="22"/>
              </w:rPr>
              <w:t>metabolic</w:t>
            </w:r>
            <w:r w:rsidR="00DF0BDA" w:rsidRPr="00997799">
              <w:rPr>
                <w:color w:val="000000" w:themeColor="text1"/>
                <w:sz w:val="22"/>
                <w:szCs w:val="22"/>
              </w:rPr>
              <w:t xml:space="preserve"> gene expression</w:t>
            </w:r>
            <w:r w:rsidR="001F08EC" w:rsidRPr="00997799">
              <w:rPr>
                <w:color w:val="000000" w:themeColor="text1"/>
                <w:sz w:val="22"/>
                <w:szCs w:val="22"/>
              </w:rPr>
              <w:t xml:space="preserve">, </w:t>
            </w:r>
            <w:r w:rsidR="00DF0BDA" w:rsidRPr="00997799">
              <w:rPr>
                <w:color w:val="000000" w:themeColor="text1"/>
                <w:sz w:val="22"/>
                <w:szCs w:val="22"/>
              </w:rPr>
              <w:t xml:space="preserve">in association with protecting against disease </w:t>
            </w:r>
            <w:r w:rsidR="00DF0BDA" w:rsidRPr="00997799">
              <w:rPr>
                <w:color w:val="000000" w:themeColor="text1"/>
                <w:sz w:val="22"/>
                <w:szCs w:val="22"/>
              </w:rPr>
              <w:t xml:space="preserve">in </w:t>
            </w:r>
            <w:r w:rsidR="001F08EC" w:rsidRPr="00997799">
              <w:rPr>
                <w:color w:val="000000" w:themeColor="text1"/>
                <w:sz w:val="22"/>
                <w:szCs w:val="22"/>
              </w:rPr>
              <w:t>both obese and non-obese female experimental asthma</w:t>
            </w:r>
            <w:r w:rsidR="00DF0BDA" w:rsidRPr="00997799">
              <w:rPr>
                <w:color w:val="000000" w:themeColor="text1"/>
                <w:sz w:val="22"/>
                <w:szCs w:val="22"/>
              </w:rPr>
              <w:t>.</w:t>
            </w:r>
            <w:r w:rsidR="001F08EC" w:rsidRPr="00997799">
              <w:rPr>
                <w:color w:val="000000" w:themeColor="text1"/>
                <w:sz w:val="22"/>
                <w:szCs w:val="22"/>
              </w:rPr>
              <w:t xml:space="preserve"> </w:t>
            </w:r>
          </w:p>
          <w:p w14:paraId="196E7BAC" w14:textId="4765447C" w:rsidR="001564A4" w:rsidRPr="00997799" w:rsidRDefault="001564A4" w:rsidP="00566AC8">
            <w:pPr>
              <w:pStyle w:val="Default"/>
              <w:jc w:val="both"/>
              <w:rPr>
                <w:rStyle w:val="A4"/>
                <w:color w:val="000000" w:themeColor="text1"/>
              </w:rPr>
            </w:pPr>
            <w:r w:rsidRPr="00997799">
              <w:rPr>
                <w:rStyle w:val="A4"/>
                <w:b/>
                <w:bCs/>
                <w:color w:val="000000" w:themeColor="text1"/>
              </w:rPr>
              <w:t xml:space="preserve">Conclusion: </w:t>
            </w:r>
            <w:r w:rsidR="00566AC8" w:rsidRPr="00997799">
              <w:rPr>
                <w:color w:val="000000" w:themeColor="text1"/>
                <w:sz w:val="22"/>
                <w:szCs w:val="22"/>
              </w:rPr>
              <w:t>Together these findings demonstrate how excess glucose levels in obesity affect the immunopathogenesis of asthma. They also highlight the important and interacting role that female sex hormones and metabolism play in determining the pathogenesis and severity of disease. Most importantly, these data highlight the potential for modulating glucose metabolism for the treatment of obesity-associated severe asthma.</w:t>
            </w:r>
          </w:p>
          <w:p w14:paraId="3E8B4283" w14:textId="5E428F67" w:rsidR="001564A4" w:rsidRPr="00997799" w:rsidRDefault="001564A4" w:rsidP="00566AC8">
            <w:pPr>
              <w:pStyle w:val="Pa12"/>
              <w:jc w:val="both"/>
              <w:rPr>
                <w:rStyle w:val="A4"/>
                <w:b/>
                <w:bCs/>
                <w:color w:val="000000" w:themeColor="text1"/>
              </w:rPr>
            </w:pPr>
            <w:r w:rsidRPr="00997799">
              <w:rPr>
                <w:rStyle w:val="A4"/>
                <w:b/>
                <w:bCs/>
                <w:color w:val="000000" w:themeColor="text1"/>
              </w:rPr>
              <w:t xml:space="preserve">Grant Support: </w:t>
            </w:r>
            <w:r w:rsidR="00566AC8" w:rsidRPr="00997799">
              <w:rPr>
                <w:color w:val="000000" w:themeColor="text1"/>
                <w:sz w:val="22"/>
                <w:szCs w:val="22"/>
              </w:rPr>
              <w:t>PRC Healthy Lungs</w:t>
            </w:r>
          </w:p>
          <w:p w14:paraId="4A9CC835" w14:textId="77777777" w:rsidR="00566AC8" w:rsidRPr="00997799" w:rsidRDefault="00566AC8" w:rsidP="00566AC8">
            <w:pPr>
              <w:rPr>
                <w:rFonts w:ascii="Calibri" w:hAnsi="Calibri" w:cs="Calibri"/>
                <w:color w:val="000000" w:themeColor="text1"/>
                <w:sz w:val="22"/>
                <w:szCs w:val="22"/>
              </w:rPr>
            </w:pPr>
            <w:r w:rsidRPr="00997799">
              <w:rPr>
                <w:rFonts w:ascii="Calibri" w:hAnsi="Calibri" w:cs="Calibri"/>
                <w:color w:val="000000" w:themeColor="text1"/>
                <w:sz w:val="22"/>
                <w:szCs w:val="22"/>
              </w:rPr>
              <w:t> </w:t>
            </w:r>
          </w:p>
          <w:p w14:paraId="7F8381F0" w14:textId="7BB96C7F" w:rsidR="001564A4" w:rsidRPr="00997799" w:rsidRDefault="001564A4" w:rsidP="00566AC8">
            <w:pPr>
              <w:pStyle w:val="Pa12"/>
              <w:jc w:val="both"/>
              <w:rPr>
                <w:color w:val="000000" w:themeColor="text1"/>
                <w:sz w:val="22"/>
                <w:szCs w:val="22"/>
              </w:rPr>
            </w:pPr>
            <w:r w:rsidRPr="00997799">
              <w:rPr>
                <w:color w:val="000000" w:themeColor="text1"/>
                <w:sz w:val="22"/>
                <w:szCs w:val="22"/>
              </w:rPr>
              <w:br/>
            </w:r>
            <w:r w:rsidRPr="00997799">
              <w:rPr>
                <w:color w:val="000000" w:themeColor="text1"/>
                <w:sz w:val="22"/>
                <w:szCs w:val="22"/>
              </w:rPr>
              <w:br/>
            </w:r>
            <w:r w:rsidRPr="00997799">
              <w:rPr>
                <w:color w:val="000000" w:themeColor="text1"/>
                <w:sz w:val="22"/>
                <w:szCs w:val="22"/>
              </w:rPr>
              <w:br/>
            </w:r>
            <w:r w:rsidRPr="00997799">
              <w:rPr>
                <w:color w:val="000000" w:themeColor="text1"/>
                <w:sz w:val="22"/>
                <w:szCs w:val="22"/>
              </w:rPr>
              <w:br/>
            </w:r>
            <w:r w:rsidRPr="00997799">
              <w:rPr>
                <w:color w:val="000000" w:themeColor="text1"/>
                <w:sz w:val="22"/>
                <w:szCs w:val="22"/>
              </w:rPr>
              <w:br/>
            </w:r>
            <w:r w:rsidRPr="00997799">
              <w:rPr>
                <w:color w:val="000000" w:themeColor="text1"/>
                <w:sz w:val="22"/>
                <w:szCs w:val="22"/>
              </w:rPr>
              <w:br/>
            </w:r>
            <w:r w:rsidRPr="00997799">
              <w:rPr>
                <w:color w:val="000000" w:themeColor="text1"/>
                <w:sz w:val="22"/>
                <w:szCs w:val="22"/>
              </w:rPr>
              <w:br/>
            </w:r>
            <w:r w:rsidRPr="00997799">
              <w:rPr>
                <w:color w:val="000000" w:themeColor="text1"/>
                <w:sz w:val="22"/>
                <w:szCs w:val="22"/>
              </w:rPr>
              <w:br/>
            </w:r>
            <w:r w:rsidRPr="00997799">
              <w:rPr>
                <w:color w:val="000000" w:themeColor="text1"/>
                <w:sz w:val="22"/>
                <w:szCs w:val="22"/>
              </w:rPr>
              <w:br/>
            </w:r>
            <w:r w:rsidRPr="00997799">
              <w:rPr>
                <w:color w:val="000000" w:themeColor="text1"/>
                <w:sz w:val="22"/>
                <w:szCs w:val="22"/>
              </w:rPr>
              <w:br/>
            </w:r>
          </w:p>
          <w:p w14:paraId="731CD908" w14:textId="77777777" w:rsidR="001564A4" w:rsidRPr="00997799" w:rsidRDefault="001564A4" w:rsidP="000A28E2">
            <w:pPr>
              <w:pStyle w:val="Default"/>
              <w:rPr>
                <w:color w:val="000000" w:themeColor="text1"/>
                <w:sz w:val="22"/>
                <w:szCs w:val="22"/>
              </w:rPr>
            </w:pPr>
          </w:p>
          <w:p w14:paraId="34BF0A0F" w14:textId="77777777" w:rsidR="001564A4" w:rsidRPr="00997799" w:rsidRDefault="001564A4" w:rsidP="000A28E2">
            <w:pPr>
              <w:pStyle w:val="Default"/>
              <w:rPr>
                <w:color w:val="000000" w:themeColor="text1"/>
                <w:sz w:val="22"/>
                <w:szCs w:val="22"/>
              </w:rPr>
            </w:pPr>
          </w:p>
          <w:p w14:paraId="1FF1A88F" w14:textId="77777777" w:rsidR="001564A4" w:rsidRPr="00997799" w:rsidRDefault="001564A4" w:rsidP="000A28E2">
            <w:pPr>
              <w:pStyle w:val="Pa12"/>
              <w:rPr>
                <w:rStyle w:val="A4"/>
                <w:bCs/>
                <w:color w:val="000000" w:themeColor="text1"/>
              </w:rPr>
            </w:pPr>
            <w:r w:rsidRPr="00997799">
              <w:rPr>
                <w:rStyle w:val="A4"/>
                <w:bCs/>
                <w:color w:val="000000" w:themeColor="text1"/>
              </w:rPr>
              <w:br/>
            </w:r>
            <w:r w:rsidRPr="00997799">
              <w:rPr>
                <w:rStyle w:val="A4"/>
                <w:bCs/>
                <w:color w:val="000000" w:themeColor="text1"/>
              </w:rPr>
              <w:br/>
            </w:r>
            <w:r w:rsidRPr="00997799">
              <w:rPr>
                <w:rStyle w:val="A4"/>
                <w:bCs/>
                <w:color w:val="000000" w:themeColor="text1"/>
              </w:rPr>
              <w:br/>
            </w:r>
            <w:r w:rsidRPr="00997799">
              <w:rPr>
                <w:rStyle w:val="A4"/>
                <w:bCs/>
                <w:color w:val="000000" w:themeColor="text1"/>
              </w:rPr>
              <w:br/>
            </w:r>
            <w:r w:rsidRPr="00997799">
              <w:rPr>
                <w:rStyle w:val="A4"/>
                <w:bCs/>
                <w:color w:val="000000" w:themeColor="text1"/>
              </w:rPr>
              <w:br/>
            </w:r>
            <w:r w:rsidRPr="00997799">
              <w:rPr>
                <w:rStyle w:val="A4"/>
                <w:bCs/>
                <w:color w:val="000000" w:themeColor="text1"/>
              </w:rPr>
              <w:br/>
            </w:r>
            <w:r w:rsidRPr="00997799">
              <w:rPr>
                <w:rStyle w:val="A4"/>
                <w:bCs/>
                <w:color w:val="000000" w:themeColor="text1"/>
              </w:rPr>
              <w:br/>
            </w:r>
            <w:r w:rsidRPr="00997799">
              <w:rPr>
                <w:rStyle w:val="A4"/>
                <w:bCs/>
                <w:color w:val="000000" w:themeColor="text1"/>
              </w:rPr>
              <w:br/>
            </w:r>
            <w:r w:rsidRPr="00997799">
              <w:rPr>
                <w:rStyle w:val="A4"/>
                <w:bCs/>
                <w:color w:val="000000" w:themeColor="text1"/>
              </w:rPr>
              <w:br/>
            </w:r>
            <w:r w:rsidRPr="00997799">
              <w:rPr>
                <w:rStyle w:val="A4"/>
                <w:bCs/>
                <w:color w:val="000000" w:themeColor="text1"/>
              </w:rPr>
              <w:br/>
            </w:r>
            <w:r w:rsidRPr="00997799">
              <w:rPr>
                <w:rStyle w:val="A4"/>
                <w:bCs/>
                <w:color w:val="000000" w:themeColor="text1"/>
              </w:rPr>
              <w:br/>
            </w:r>
          </w:p>
          <w:p w14:paraId="14DC37E4" w14:textId="77777777" w:rsidR="001564A4" w:rsidRPr="00997799" w:rsidRDefault="001564A4" w:rsidP="000A28E2">
            <w:pPr>
              <w:pStyle w:val="Default"/>
              <w:rPr>
                <w:rStyle w:val="A4"/>
                <w:bCs/>
                <w:color w:val="000000" w:themeColor="text1"/>
              </w:rPr>
            </w:pPr>
          </w:p>
          <w:p w14:paraId="5F58D34F" w14:textId="77777777" w:rsidR="001564A4" w:rsidRPr="00997799" w:rsidRDefault="001564A4" w:rsidP="000A28E2">
            <w:pPr>
              <w:pStyle w:val="Default"/>
              <w:rPr>
                <w:color w:val="000000" w:themeColor="text1"/>
                <w:sz w:val="22"/>
                <w:szCs w:val="22"/>
                <w:lang w:val="en-US" w:eastAsia="en-GB"/>
              </w:rPr>
            </w:pPr>
            <w:r w:rsidRPr="00997799">
              <w:rPr>
                <w:color w:val="000000" w:themeColor="text1"/>
                <w:sz w:val="22"/>
                <w:szCs w:val="22"/>
                <w:lang w:val="en-US" w:eastAsia="en-GB"/>
              </w:rPr>
              <w:br/>
            </w:r>
            <w:r w:rsidRPr="00997799">
              <w:rPr>
                <w:color w:val="000000" w:themeColor="text1"/>
                <w:sz w:val="22"/>
                <w:szCs w:val="22"/>
                <w:lang w:val="en-US" w:eastAsia="en-GB"/>
              </w:rPr>
              <w:br/>
            </w:r>
            <w:r w:rsidRPr="00997799">
              <w:rPr>
                <w:color w:val="000000" w:themeColor="text1"/>
                <w:sz w:val="22"/>
                <w:szCs w:val="22"/>
                <w:lang w:val="en-US" w:eastAsia="en-GB"/>
              </w:rPr>
              <w:br/>
            </w:r>
            <w:r w:rsidRPr="00997799">
              <w:rPr>
                <w:color w:val="000000" w:themeColor="text1"/>
                <w:sz w:val="22"/>
                <w:szCs w:val="22"/>
                <w:lang w:val="en-US" w:eastAsia="en-GB"/>
              </w:rPr>
              <w:br/>
            </w:r>
            <w:r w:rsidRPr="00997799">
              <w:rPr>
                <w:color w:val="000000" w:themeColor="text1"/>
                <w:sz w:val="22"/>
                <w:szCs w:val="22"/>
                <w:lang w:val="en-US" w:eastAsia="en-GB"/>
              </w:rPr>
              <w:br/>
            </w:r>
            <w:r w:rsidRPr="00997799">
              <w:rPr>
                <w:color w:val="000000" w:themeColor="text1"/>
                <w:sz w:val="22"/>
                <w:szCs w:val="22"/>
                <w:lang w:val="en-US" w:eastAsia="en-GB"/>
              </w:rPr>
              <w:br/>
            </w:r>
            <w:r w:rsidRPr="00997799">
              <w:rPr>
                <w:color w:val="000000" w:themeColor="text1"/>
                <w:sz w:val="22"/>
                <w:szCs w:val="22"/>
                <w:lang w:val="en-US" w:eastAsia="en-GB"/>
              </w:rPr>
              <w:br/>
            </w:r>
            <w:r w:rsidRPr="00997799">
              <w:rPr>
                <w:color w:val="000000" w:themeColor="text1"/>
                <w:sz w:val="22"/>
                <w:szCs w:val="22"/>
                <w:lang w:val="en-US" w:eastAsia="en-GB"/>
              </w:rPr>
              <w:br/>
            </w:r>
            <w:r w:rsidRPr="00997799">
              <w:rPr>
                <w:color w:val="000000" w:themeColor="text1"/>
                <w:sz w:val="22"/>
                <w:szCs w:val="22"/>
                <w:lang w:val="en-US" w:eastAsia="en-GB"/>
              </w:rPr>
              <w:br/>
            </w:r>
            <w:r w:rsidRPr="00997799">
              <w:rPr>
                <w:color w:val="000000" w:themeColor="text1"/>
                <w:sz w:val="22"/>
                <w:szCs w:val="22"/>
                <w:lang w:val="en-US" w:eastAsia="en-GB"/>
              </w:rPr>
              <w:br/>
            </w:r>
            <w:r w:rsidRPr="00997799">
              <w:rPr>
                <w:color w:val="000000" w:themeColor="text1"/>
                <w:sz w:val="22"/>
                <w:szCs w:val="22"/>
                <w:lang w:val="en-US" w:eastAsia="en-GB"/>
              </w:rPr>
              <w:br/>
            </w:r>
            <w:r w:rsidRPr="00997799">
              <w:rPr>
                <w:color w:val="000000" w:themeColor="text1"/>
                <w:sz w:val="22"/>
                <w:szCs w:val="22"/>
                <w:lang w:val="en-US" w:eastAsia="en-GB"/>
              </w:rPr>
              <w:br/>
            </w:r>
            <w:r w:rsidRPr="00997799">
              <w:rPr>
                <w:color w:val="000000" w:themeColor="text1"/>
                <w:sz w:val="22"/>
                <w:szCs w:val="22"/>
                <w:lang w:val="en-US" w:eastAsia="en-GB"/>
              </w:rPr>
              <w:br/>
            </w:r>
            <w:r w:rsidRPr="00997799">
              <w:rPr>
                <w:color w:val="000000" w:themeColor="text1"/>
                <w:sz w:val="22"/>
                <w:szCs w:val="22"/>
                <w:lang w:val="en-US" w:eastAsia="en-GB"/>
              </w:rPr>
              <w:br/>
            </w:r>
            <w:r w:rsidRPr="00997799">
              <w:rPr>
                <w:color w:val="000000" w:themeColor="text1"/>
                <w:sz w:val="22"/>
                <w:szCs w:val="22"/>
                <w:lang w:val="en-US" w:eastAsia="en-GB"/>
              </w:rPr>
              <w:br/>
            </w:r>
            <w:r w:rsidRPr="00997799">
              <w:rPr>
                <w:color w:val="000000" w:themeColor="text1"/>
                <w:sz w:val="22"/>
                <w:szCs w:val="22"/>
                <w:lang w:val="en-US" w:eastAsia="en-GB"/>
              </w:rPr>
              <w:br/>
            </w:r>
            <w:r w:rsidRPr="00997799">
              <w:rPr>
                <w:color w:val="000000" w:themeColor="text1"/>
                <w:sz w:val="22"/>
                <w:szCs w:val="22"/>
                <w:lang w:val="en-US" w:eastAsia="en-GB"/>
              </w:rPr>
              <w:br/>
            </w:r>
            <w:r w:rsidRPr="00997799">
              <w:rPr>
                <w:color w:val="000000" w:themeColor="text1"/>
                <w:sz w:val="22"/>
                <w:szCs w:val="22"/>
                <w:lang w:val="en-US" w:eastAsia="en-GB"/>
              </w:rPr>
              <w:br/>
            </w:r>
            <w:r w:rsidRPr="00997799">
              <w:rPr>
                <w:color w:val="000000" w:themeColor="text1"/>
                <w:sz w:val="22"/>
                <w:szCs w:val="22"/>
                <w:lang w:val="en-US" w:eastAsia="en-GB"/>
              </w:rPr>
              <w:br/>
            </w:r>
            <w:r w:rsidRPr="00997799">
              <w:rPr>
                <w:color w:val="000000" w:themeColor="text1"/>
                <w:sz w:val="22"/>
                <w:szCs w:val="22"/>
                <w:lang w:val="en-US" w:eastAsia="en-GB"/>
              </w:rPr>
              <w:br/>
            </w:r>
            <w:r w:rsidRPr="00997799">
              <w:rPr>
                <w:color w:val="000000" w:themeColor="text1"/>
                <w:sz w:val="22"/>
                <w:szCs w:val="22"/>
                <w:lang w:val="en-US" w:eastAsia="en-GB"/>
              </w:rPr>
              <w:br/>
            </w:r>
            <w:r w:rsidRPr="00997799">
              <w:rPr>
                <w:color w:val="000000" w:themeColor="text1"/>
                <w:sz w:val="22"/>
                <w:szCs w:val="22"/>
                <w:lang w:val="en-US" w:eastAsia="en-GB"/>
              </w:rPr>
              <w:br/>
            </w:r>
            <w:r w:rsidRPr="00997799">
              <w:rPr>
                <w:color w:val="000000" w:themeColor="text1"/>
                <w:sz w:val="22"/>
                <w:szCs w:val="22"/>
                <w:lang w:val="en-US" w:eastAsia="en-GB"/>
              </w:rPr>
              <w:br/>
            </w:r>
            <w:r w:rsidRPr="00997799">
              <w:rPr>
                <w:color w:val="000000" w:themeColor="text1"/>
                <w:sz w:val="22"/>
                <w:szCs w:val="22"/>
                <w:lang w:val="en-US" w:eastAsia="en-GB"/>
              </w:rPr>
              <w:br/>
            </w:r>
            <w:r w:rsidRPr="00997799">
              <w:rPr>
                <w:color w:val="000000" w:themeColor="text1"/>
                <w:sz w:val="22"/>
                <w:szCs w:val="22"/>
                <w:lang w:val="en-US" w:eastAsia="en-GB"/>
              </w:rPr>
              <w:br/>
            </w:r>
            <w:r w:rsidRPr="00997799">
              <w:rPr>
                <w:color w:val="000000" w:themeColor="text1"/>
                <w:sz w:val="22"/>
                <w:szCs w:val="22"/>
                <w:lang w:val="en-US" w:eastAsia="en-GB"/>
              </w:rPr>
              <w:br/>
            </w:r>
            <w:r w:rsidRPr="00997799">
              <w:rPr>
                <w:color w:val="000000" w:themeColor="text1"/>
                <w:sz w:val="22"/>
                <w:szCs w:val="22"/>
                <w:lang w:val="en-US" w:eastAsia="en-GB"/>
              </w:rPr>
              <w:br/>
            </w:r>
            <w:r w:rsidRPr="00997799">
              <w:rPr>
                <w:color w:val="000000" w:themeColor="text1"/>
                <w:sz w:val="22"/>
                <w:szCs w:val="22"/>
                <w:lang w:val="en-US" w:eastAsia="en-GB"/>
              </w:rPr>
              <w:br/>
            </w:r>
            <w:r w:rsidRPr="00997799">
              <w:rPr>
                <w:color w:val="000000" w:themeColor="text1"/>
                <w:sz w:val="22"/>
                <w:szCs w:val="22"/>
                <w:lang w:val="en-US" w:eastAsia="en-GB"/>
              </w:rPr>
              <w:br/>
            </w:r>
            <w:r w:rsidRPr="00997799">
              <w:rPr>
                <w:color w:val="000000" w:themeColor="text1"/>
                <w:sz w:val="22"/>
                <w:szCs w:val="22"/>
                <w:lang w:val="en-US" w:eastAsia="en-GB"/>
              </w:rPr>
              <w:br/>
            </w:r>
            <w:r w:rsidRPr="00997799">
              <w:rPr>
                <w:color w:val="000000" w:themeColor="text1"/>
                <w:sz w:val="22"/>
                <w:szCs w:val="22"/>
                <w:lang w:val="en-US" w:eastAsia="en-GB"/>
              </w:rPr>
              <w:br/>
            </w:r>
            <w:r w:rsidRPr="00997799">
              <w:rPr>
                <w:color w:val="000000" w:themeColor="text1"/>
                <w:sz w:val="22"/>
                <w:szCs w:val="22"/>
                <w:lang w:val="en-US" w:eastAsia="en-GB"/>
              </w:rPr>
              <w:br/>
            </w:r>
            <w:r w:rsidRPr="00997799">
              <w:rPr>
                <w:color w:val="000000" w:themeColor="text1"/>
                <w:sz w:val="22"/>
                <w:szCs w:val="22"/>
                <w:lang w:val="en-US" w:eastAsia="en-GB"/>
              </w:rPr>
              <w:br/>
            </w:r>
            <w:r w:rsidRPr="00997799">
              <w:rPr>
                <w:color w:val="000000" w:themeColor="text1"/>
                <w:sz w:val="22"/>
                <w:szCs w:val="22"/>
                <w:lang w:val="en-US" w:eastAsia="en-GB"/>
              </w:rPr>
              <w:br/>
            </w:r>
            <w:r w:rsidRPr="00997799">
              <w:rPr>
                <w:color w:val="000000" w:themeColor="text1"/>
                <w:sz w:val="22"/>
                <w:szCs w:val="22"/>
                <w:lang w:val="en-US" w:eastAsia="en-GB"/>
              </w:rPr>
              <w:br/>
            </w:r>
            <w:r w:rsidRPr="00997799">
              <w:rPr>
                <w:color w:val="000000" w:themeColor="text1"/>
                <w:sz w:val="22"/>
                <w:szCs w:val="22"/>
                <w:lang w:val="en-US" w:eastAsia="en-GB"/>
              </w:rPr>
              <w:br/>
            </w:r>
            <w:r w:rsidRPr="00997799">
              <w:rPr>
                <w:color w:val="000000" w:themeColor="text1"/>
                <w:sz w:val="22"/>
                <w:szCs w:val="22"/>
                <w:lang w:val="en-US" w:eastAsia="en-GB"/>
              </w:rPr>
              <w:br/>
            </w:r>
            <w:r w:rsidRPr="00997799">
              <w:rPr>
                <w:color w:val="000000" w:themeColor="text1"/>
                <w:sz w:val="22"/>
                <w:szCs w:val="22"/>
                <w:lang w:val="en-US" w:eastAsia="en-GB"/>
              </w:rPr>
              <w:br/>
            </w:r>
            <w:r w:rsidRPr="00997799">
              <w:rPr>
                <w:color w:val="000000" w:themeColor="text1"/>
                <w:sz w:val="22"/>
                <w:szCs w:val="22"/>
                <w:lang w:val="en-US" w:eastAsia="en-GB"/>
              </w:rPr>
              <w:br/>
            </w:r>
            <w:r w:rsidRPr="00997799">
              <w:rPr>
                <w:color w:val="000000" w:themeColor="text1"/>
                <w:sz w:val="22"/>
                <w:szCs w:val="22"/>
                <w:lang w:val="en-US" w:eastAsia="en-GB"/>
              </w:rPr>
              <w:br/>
            </w:r>
            <w:r w:rsidRPr="00997799">
              <w:rPr>
                <w:color w:val="000000" w:themeColor="text1"/>
                <w:sz w:val="22"/>
                <w:szCs w:val="22"/>
                <w:lang w:val="en-US" w:eastAsia="en-GB"/>
              </w:rPr>
              <w:br/>
            </w:r>
            <w:r w:rsidRPr="00997799">
              <w:rPr>
                <w:color w:val="000000" w:themeColor="text1"/>
                <w:sz w:val="22"/>
                <w:szCs w:val="22"/>
                <w:lang w:val="en-US" w:eastAsia="en-GB"/>
              </w:rPr>
              <w:br/>
            </w:r>
            <w:r w:rsidRPr="00997799">
              <w:rPr>
                <w:color w:val="000000" w:themeColor="text1"/>
                <w:sz w:val="22"/>
                <w:szCs w:val="22"/>
                <w:lang w:val="en-US" w:eastAsia="en-GB"/>
              </w:rPr>
              <w:br/>
            </w:r>
            <w:r w:rsidRPr="00997799">
              <w:rPr>
                <w:color w:val="000000" w:themeColor="text1"/>
                <w:sz w:val="22"/>
                <w:szCs w:val="22"/>
                <w:lang w:val="en-US" w:eastAsia="en-GB"/>
              </w:rPr>
              <w:br/>
            </w:r>
          </w:p>
        </w:tc>
      </w:tr>
    </w:tbl>
    <w:p w14:paraId="7C36A9DC" w14:textId="32A70617" w:rsidR="00E0700F" w:rsidRPr="00997799" w:rsidRDefault="00E0700F" w:rsidP="001564A4">
      <w:pPr>
        <w:rPr>
          <w:color w:val="000000" w:themeColor="text1"/>
          <w:sz w:val="22"/>
          <w:szCs w:val="22"/>
        </w:rPr>
      </w:pPr>
    </w:p>
    <w:sectPr w:rsidR="00E0700F" w:rsidRPr="009977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20B0604020202020204"/>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3AD4"/>
    <w:multiLevelType w:val="multilevel"/>
    <w:tmpl w:val="4CF4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7439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04D54"/>
    <w:rsid w:val="00015790"/>
    <w:rsid w:val="000974F3"/>
    <w:rsid w:val="000D2B2E"/>
    <w:rsid w:val="001564A4"/>
    <w:rsid w:val="001F08EC"/>
    <w:rsid w:val="0027105B"/>
    <w:rsid w:val="0051574E"/>
    <w:rsid w:val="00532A2C"/>
    <w:rsid w:val="00566AC8"/>
    <w:rsid w:val="007A4F13"/>
    <w:rsid w:val="008803FA"/>
    <w:rsid w:val="0098341E"/>
    <w:rsid w:val="00997799"/>
    <w:rsid w:val="00B12E32"/>
    <w:rsid w:val="00D56B04"/>
    <w:rsid w:val="00DC54CE"/>
    <w:rsid w:val="00DF0BDA"/>
    <w:rsid w:val="00E0700F"/>
    <w:rsid w:val="00E44A85"/>
    <w:rsid w:val="00FD1D0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character" w:customStyle="1" w:styleId="apple-converted-space">
    <w:name w:val="apple-converted-space"/>
    <w:basedOn w:val="DefaultParagraphFont"/>
    <w:rsid w:val="00566AC8"/>
  </w:style>
  <w:style w:type="paragraph" w:styleId="ListParagraph">
    <w:name w:val="List Paragraph"/>
    <w:basedOn w:val="Normal"/>
    <w:uiPriority w:val="34"/>
    <w:qFormat/>
    <w:rsid w:val="00566AC8"/>
    <w:pPr>
      <w:spacing w:before="100" w:beforeAutospacing="1" w:after="100" w:afterAutospacing="1"/>
    </w:pPr>
    <w:rPr>
      <w:lang w:val="en-US"/>
    </w:rPr>
  </w:style>
  <w:style w:type="paragraph" w:styleId="HTMLAddress">
    <w:name w:val="HTML Address"/>
    <w:basedOn w:val="Normal"/>
    <w:link w:val="HTMLAddressChar"/>
    <w:uiPriority w:val="99"/>
    <w:unhideWhenUsed/>
    <w:rsid w:val="00997799"/>
    <w:rPr>
      <w:i/>
      <w:iCs/>
      <w:lang w:val="en-AU" w:eastAsia="en-AU"/>
    </w:rPr>
  </w:style>
  <w:style w:type="character" w:customStyle="1" w:styleId="HTMLAddressChar">
    <w:name w:val="HTML Address Char"/>
    <w:basedOn w:val="DefaultParagraphFont"/>
    <w:link w:val="HTMLAddress"/>
    <w:uiPriority w:val="99"/>
    <w:rsid w:val="00997799"/>
    <w:rPr>
      <w:rFonts w:ascii="Times New Roman" w:eastAsia="Times New Roman" w:hAnsi="Times New Roman" w:cs="Times New Roman"/>
      <w:i/>
      <w:iCs/>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Alexandra Brown</cp:lastModifiedBy>
  <cp:revision>5</cp:revision>
  <dcterms:created xsi:type="dcterms:W3CDTF">2023-10-19T06:09:00Z</dcterms:created>
  <dcterms:modified xsi:type="dcterms:W3CDTF">2023-10-19T06:24:00Z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