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8"/>
      </w:tblGrid>
      <w:tr w:rsidR="001564A4" w:rsidRPr="00983DA0" w14:paraId="5C38377B" w14:textId="77777777" w:rsidTr="0021609F">
        <w:trPr>
          <w:trHeight w:val="1013"/>
          <w:jc w:val="center"/>
        </w:trPr>
        <w:tc>
          <w:tcPr>
            <w:tcW w:w="9118" w:type="dxa"/>
            <w:shd w:val="clear" w:color="auto" w:fill="auto"/>
          </w:tcPr>
          <w:p w14:paraId="5C44F357" w14:textId="0D4478FD" w:rsidR="001564A4" w:rsidRPr="00983DA0" w:rsidRDefault="0021609F" w:rsidP="000A28E2">
            <w:pPr>
              <w:spacing w:before="120" w:after="120"/>
              <w:rPr>
                <w:rFonts w:ascii="Arial" w:hAnsi="Arial" w:cs="Arial"/>
                <w:b/>
                <w:sz w:val="22"/>
                <w:szCs w:val="22"/>
                <w:lang w:val="en-US" w:eastAsia="zh-CN"/>
              </w:rPr>
            </w:pPr>
            <w:r w:rsidRPr="00983DA0">
              <w:rPr>
                <w:rFonts w:ascii="Arial" w:hAnsi="Arial" w:cs="Arial"/>
                <w:b/>
                <w:bCs/>
                <w:sz w:val="22"/>
                <w:szCs w:val="22"/>
              </w:rPr>
              <w:t>Acute fibrinous organising pneumonia: atypical presentation as multiple spiculated opacities</w:t>
            </w:r>
          </w:p>
        </w:tc>
      </w:tr>
      <w:tr w:rsidR="001564A4" w:rsidRPr="00983DA0" w14:paraId="0E2E035C" w14:textId="77777777" w:rsidTr="0021609F">
        <w:trPr>
          <w:trHeight w:val="370"/>
          <w:jc w:val="center"/>
        </w:trPr>
        <w:tc>
          <w:tcPr>
            <w:tcW w:w="9118" w:type="dxa"/>
            <w:shd w:val="clear" w:color="auto" w:fill="auto"/>
          </w:tcPr>
          <w:p w14:paraId="73B55295" w14:textId="7E28F5D8" w:rsidR="001564A4" w:rsidRPr="00983DA0" w:rsidRDefault="0021609F" w:rsidP="0021609F">
            <w:pPr>
              <w:jc w:val="both"/>
              <w:rPr>
                <w:rFonts w:ascii="Arial" w:hAnsi="Arial" w:cs="Arial"/>
                <w:sz w:val="22"/>
                <w:szCs w:val="22"/>
                <w:vertAlign w:val="superscript"/>
              </w:rPr>
            </w:pPr>
            <w:r w:rsidRPr="00983DA0">
              <w:rPr>
                <w:rFonts w:ascii="Arial" w:hAnsi="Arial" w:cs="Arial"/>
                <w:sz w:val="22"/>
                <w:szCs w:val="22"/>
              </w:rPr>
              <w:t>Jake Brennan</w:t>
            </w:r>
            <w:r w:rsidRPr="00983DA0">
              <w:rPr>
                <w:rFonts w:ascii="Arial" w:hAnsi="Arial" w:cs="Arial"/>
                <w:sz w:val="22"/>
                <w:szCs w:val="22"/>
                <w:vertAlign w:val="superscript"/>
              </w:rPr>
              <w:t>1</w:t>
            </w:r>
            <w:r w:rsidRPr="00983DA0">
              <w:rPr>
                <w:rFonts w:ascii="Arial" w:hAnsi="Arial" w:cs="Arial"/>
                <w:sz w:val="22"/>
                <w:szCs w:val="22"/>
              </w:rPr>
              <w:t>, James Brown</w:t>
            </w:r>
            <w:r w:rsidRPr="00983DA0">
              <w:rPr>
                <w:rFonts w:ascii="Arial" w:hAnsi="Arial" w:cs="Arial"/>
                <w:sz w:val="22"/>
                <w:szCs w:val="22"/>
                <w:vertAlign w:val="superscript"/>
              </w:rPr>
              <w:t>1</w:t>
            </w:r>
          </w:p>
        </w:tc>
      </w:tr>
      <w:tr w:rsidR="001564A4" w:rsidRPr="00983DA0" w14:paraId="385A19D9" w14:textId="77777777" w:rsidTr="0021609F">
        <w:trPr>
          <w:trHeight w:val="176"/>
          <w:jc w:val="center"/>
        </w:trPr>
        <w:tc>
          <w:tcPr>
            <w:tcW w:w="9118" w:type="dxa"/>
            <w:shd w:val="clear" w:color="auto" w:fill="auto"/>
          </w:tcPr>
          <w:p w14:paraId="45ED36BF" w14:textId="7D0EC717" w:rsidR="001564A4" w:rsidRPr="00983DA0" w:rsidRDefault="001564A4" w:rsidP="00983DA0">
            <w:pPr>
              <w:spacing w:line="360" w:lineRule="auto"/>
              <w:rPr>
                <w:rFonts w:ascii="Arial" w:hAnsi="Arial" w:cs="Arial"/>
                <w:i/>
                <w:iCs/>
                <w:sz w:val="22"/>
                <w:szCs w:val="22"/>
              </w:rPr>
            </w:pPr>
            <w:r w:rsidRPr="00983DA0">
              <w:rPr>
                <w:rFonts w:ascii="Arial" w:hAnsi="Arial" w:cs="Arial"/>
                <w:i/>
                <w:sz w:val="22"/>
                <w:szCs w:val="22"/>
                <w:vertAlign w:val="superscript"/>
                <w:lang w:val="en-US" w:eastAsia="en-GB"/>
              </w:rPr>
              <w:t>1</w:t>
            </w:r>
            <w:r w:rsidR="0021609F" w:rsidRPr="00983DA0">
              <w:rPr>
                <w:rFonts w:ascii="Arial" w:hAnsi="Arial" w:cs="Arial"/>
                <w:i/>
                <w:iCs/>
                <w:sz w:val="22"/>
                <w:szCs w:val="22"/>
              </w:rPr>
              <w:t xml:space="preserve"> Thoracic Department, Cairns Base Hospital, Queensland Australia</w:t>
            </w:r>
          </w:p>
        </w:tc>
      </w:tr>
      <w:tr w:rsidR="001564A4" w:rsidRPr="00983DA0" w14:paraId="6DAF615A" w14:textId="77777777" w:rsidTr="0021609F">
        <w:trPr>
          <w:trHeight w:hRule="exact" w:val="9562"/>
          <w:jc w:val="center"/>
        </w:trPr>
        <w:tc>
          <w:tcPr>
            <w:tcW w:w="9118" w:type="dxa"/>
            <w:shd w:val="clear" w:color="auto" w:fill="auto"/>
          </w:tcPr>
          <w:p w14:paraId="7139E364" w14:textId="6AAFB2F8" w:rsidR="0021609F" w:rsidRPr="00983DA0" w:rsidRDefault="0021609F" w:rsidP="0021609F">
            <w:pPr>
              <w:jc w:val="both"/>
              <w:rPr>
                <w:rFonts w:ascii="Arial" w:hAnsi="Arial" w:cs="Arial"/>
                <w:sz w:val="22"/>
                <w:szCs w:val="22"/>
              </w:rPr>
            </w:pPr>
            <w:r w:rsidRPr="00983DA0">
              <w:rPr>
                <w:rFonts w:ascii="Arial" w:hAnsi="Arial" w:cs="Arial"/>
                <w:b/>
                <w:bCs/>
                <w:sz w:val="22"/>
                <w:szCs w:val="22"/>
              </w:rPr>
              <w:t>Case</w:t>
            </w:r>
            <w:r w:rsidRPr="00983DA0">
              <w:rPr>
                <w:rFonts w:ascii="Arial" w:hAnsi="Arial" w:cs="Arial"/>
                <w:sz w:val="22"/>
                <w:szCs w:val="22"/>
              </w:rPr>
              <w:t xml:space="preserve">: The authors present a case of a </w:t>
            </w:r>
            <w:r w:rsidR="00983DA0" w:rsidRPr="00983DA0">
              <w:rPr>
                <w:rFonts w:ascii="Arial" w:hAnsi="Arial" w:cs="Arial"/>
                <w:sz w:val="22"/>
                <w:szCs w:val="22"/>
              </w:rPr>
              <w:t>49-year-old</w:t>
            </w:r>
            <w:r w:rsidRPr="00983DA0">
              <w:rPr>
                <w:rFonts w:ascii="Arial" w:hAnsi="Arial" w:cs="Arial"/>
                <w:sz w:val="22"/>
                <w:szCs w:val="22"/>
              </w:rPr>
              <w:t xml:space="preserve"> gentleman presenting with three weeks of generalised decline and cough, with a five day course of small volume haemoptysis. His background was limited to heavy tobacco and marijuana smoking, EtOH excess, and previous IVDU, with no other significant medical history. </w:t>
            </w:r>
            <w:r w:rsidRPr="00983DA0">
              <w:rPr>
                <w:rFonts w:ascii="Arial" w:hAnsi="Arial" w:cs="Arial"/>
                <w:b/>
                <w:bCs/>
                <w:sz w:val="22"/>
                <w:szCs w:val="22"/>
              </w:rPr>
              <w:t>Clinical exam:</w:t>
            </w:r>
            <w:r w:rsidRPr="00983DA0">
              <w:rPr>
                <w:rFonts w:ascii="Arial" w:hAnsi="Arial" w:cs="Arial"/>
                <w:sz w:val="22"/>
                <w:szCs w:val="22"/>
              </w:rPr>
              <w:t xml:space="preserve"> Examination revealed saturations of 94% on room air with nil cyanosis or clubbing. Note was made of poor dental hygiene. On auscultation there were scattered crepitations to the lower zones which cleared on coughing. </w:t>
            </w:r>
            <w:r w:rsidRPr="00983DA0">
              <w:rPr>
                <w:rFonts w:ascii="Arial" w:hAnsi="Arial" w:cs="Arial"/>
                <w:b/>
                <w:bCs/>
                <w:sz w:val="22"/>
                <w:szCs w:val="22"/>
              </w:rPr>
              <w:t xml:space="preserve">Investigations: </w:t>
            </w:r>
            <w:r w:rsidRPr="00983DA0">
              <w:rPr>
                <w:rFonts w:ascii="Arial" w:hAnsi="Arial" w:cs="Arial"/>
                <w:sz w:val="22"/>
                <w:szCs w:val="22"/>
              </w:rPr>
              <w:t xml:space="preserve">Initial chest radiograph demonstrated multiple nodular opacities across bilateral lung fields, and subsequent cross-sectional imaging revealed multiple spiculated lung lesions throughout the lung parenchyma (Figure 1). A </w:t>
            </w:r>
            <w:r w:rsidR="00983DA0" w:rsidRPr="00983DA0">
              <w:rPr>
                <w:rFonts w:ascii="Arial" w:hAnsi="Arial" w:cs="Arial"/>
                <w:sz w:val="22"/>
                <w:szCs w:val="22"/>
              </w:rPr>
              <w:t>low-grade</w:t>
            </w:r>
            <w:r w:rsidRPr="00983DA0">
              <w:rPr>
                <w:rFonts w:ascii="Arial" w:hAnsi="Arial" w:cs="Arial"/>
                <w:sz w:val="22"/>
                <w:szCs w:val="22"/>
              </w:rPr>
              <w:t xml:space="preserve"> eosinophilia was demonstrated (0.40). CRP was 127 on presentation, peaking at 193. Blood cultures were negative and transthoracic echocardiogram was negative for infective endocarditis. The decision was made to pursue percutaneous biopsy, which revealed a diagnosis of acute fibrinous organising pneumonia (AFOP). </w:t>
            </w:r>
            <w:r w:rsidRPr="00983DA0">
              <w:rPr>
                <w:rFonts w:ascii="Arial" w:hAnsi="Arial" w:cs="Arial"/>
                <w:b/>
                <w:bCs/>
                <w:sz w:val="22"/>
                <w:szCs w:val="22"/>
              </w:rPr>
              <w:t xml:space="preserve">Management: </w:t>
            </w:r>
            <w:r w:rsidRPr="00983DA0">
              <w:rPr>
                <w:rFonts w:ascii="Arial" w:hAnsi="Arial" w:cs="Arial"/>
                <w:sz w:val="22"/>
                <w:szCs w:val="22"/>
              </w:rPr>
              <w:t xml:space="preserve">The patient was commenced on course of high dose oral prednisone 50mg daily, weaning over a course of three months. </w:t>
            </w:r>
            <w:r w:rsidRPr="00983DA0">
              <w:rPr>
                <w:rFonts w:ascii="Arial" w:hAnsi="Arial" w:cs="Arial"/>
                <w:b/>
                <w:bCs/>
                <w:sz w:val="22"/>
                <w:szCs w:val="22"/>
              </w:rPr>
              <w:t xml:space="preserve">Outcome: </w:t>
            </w:r>
            <w:r w:rsidRPr="00983DA0">
              <w:rPr>
                <w:rFonts w:ascii="Arial" w:hAnsi="Arial" w:cs="Arial"/>
                <w:sz w:val="22"/>
                <w:szCs w:val="22"/>
              </w:rPr>
              <w:t xml:space="preserve">Repeat cross sectional imaging at two months revealed an interval improvement with complete resolution of most lesions and substantial regression of the remaining lesions. Cough and haemoptysis had resolved. </w:t>
            </w:r>
            <w:r w:rsidRPr="00983DA0">
              <w:rPr>
                <w:rFonts w:ascii="Arial" w:hAnsi="Arial" w:cs="Arial"/>
                <w:b/>
                <w:bCs/>
                <w:sz w:val="22"/>
                <w:szCs w:val="22"/>
              </w:rPr>
              <w:t>Discussion</w:t>
            </w:r>
            <w:r w:rsidRPr="00983DA0">
              <w:rPr>
                <w:rFonts w:ascii="Arial" w:hAnsi="Arial" w:cs="Arial"/>
                <w:sz w:val="22"/>
                <w:szCs w:val="22"/>
              </w:rPr>
              <w:t xml:space="preserve"> This case demonstrates a rare presentation of nodule-dominant AFOP, successfully treated with oral corticosteroids alone. The case is compared to previous descriptions in the literature.</w:t>
            </w:r>
          </w:p>
          <w:p w14:paraId="406372E6" w14:textId="5A0B0073" w:rsidR="0021609F" w:rsidRPr="00983DA0" w:rsidRDefault="0021609F" w:rsidP="000A28E2">
            <w:pPr>
              <w:pStyle w:val="Pa12"/>
              <w:rPr>
                <w:sz w:val="22"/>
                <w:szCs w:val="22"/>
              </w:rPr>
            </w:pPr>
          </w:p>
          <w:p w14:paraId="731D341C" w14:textId="18149F35" w:rsidR="0021609F" w:rsidRPr="00983DA0" w:rsidRDefault="0021609F" w:rsidP="0021609F">
            <w:pPr>
              <w:pStyle w:val="Default"/>
              <w:rPr>
                <w:sz w:val="22"/>
                <w:szCs w:val="22"/>
              </w:rPr>
            </w:pPr>
            <w:r w:rsidRPr="00983DA0">
              <w:rPr>
                <w:noProof/>
                <w:sz w:val="22"/>
                <w:szCs w:val="22"/>
              </w:rPr>
              <w:drawing>
                <wp:inline distT="0" distB="0" distL="0" distR="0" wp14:anchorId="6FCA9478" wp14:editId="49AEABB7">
                  <wp:extent cx="2525496" cy="18192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2233" cy="1824128"/>
                          </a:xfrm>
                          <a:prstGeom prst="rect">
                            <a:avLst/>
                          </a:prstGeom>
                        </pic:spPr>
                      </pic:pic>
                    </a:graphicData>
                  </a:graphic>
                </wp:inline>
              </w:drawing>
            </w:r>
            <w:r w:rsidRPr="00983DA0">
              <w:rPr>
                <w:noProof/>
                <w:sz w:val="22"/>
                <w:szCs w:val="22"/>
              </w:rPr>
              <w:drawing>
                <wp:inline distT="0" distB="0" distL="0" distR="0" wp14:anchorId="6A2C6C26" wp14:editId="453DDAFA">
                  <wp:extent cx="2525045" cy="181419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8392" cy="1830969"/>
                          </a:xfrm>
                          <a:prstGeom prst="rect">
                            <a:avLst/>
                          </a:prstGeom>
                        </pic:spPr>
                      </pic:pic>
                    </a:graphicData>
                  </a:graphic>
                </wp:inline>
              </w:drawing>
            </w:r>
          </w:p>
          <w:p w14:paraId="5A15190C" w14:textId="77777777" w:rsidR="0021609F" w:rsidRPr="00983DA0" w:rsidRDefault="0021609F" w:rsidP="0021609F">
            <w:pPr>
              <w:rPr>
                <w:rFonts w:ascii="Arial" w:hAnsi="Arial" w:cs="Arial"/>
                <w:noProof/>
                <w:sz w:val="22"/>
                <w:szCs w:val="22"/>
              </w:rPr>
            </w:pPr>
            <w:r w:rsidRPr="00983DA0">
              <w:rPr>
                <w:rFonts w:ascii="Arial" w:hAnsi="Arial" w:cs="Arial"/>
                <w:noProof/>
                <w:sz w:val="22"/>
                <w:szCs w:val="22"/>
              </w:rPr>
              <w:t>Figure 1. Bilateral spiculated opacities demonstrated on initial cross-sectional imaging.</w:t>
            </w:r>
          </w:p>
          <w:p w14:paraId="766ED02D" w14:textId="77777777" w:rsidR="0021609F" w:rsidRPr="00983DA0" w:rsidRDefault="0021609F" w:rsidP="0021609F">
            <w:pPr>
              <w:rPr>
                <w:rFonts w:ascii="Arial" w:hAnsi="Arial" w:cs="Arial"/>
                <w:noProof/>
                <w:sz w:val="22"/>
                <w:szCs w:val="22"/>
              </w:rPr>
            </w:pPr>
          </w:p>
          <w:p w14:paraId="143540FE" w14:textId="77777777" w:rsidR="0021609F" w:rsidRPr="00983DA0" w:rsidRDefault="0021609F" w:rsidP="0021609F">
            <w:pPr>
              <w:rPr>
                <w:rFonts w:ascii="Arial" w:hAnsi="Arial" w:cs="Arial"/>
                <w:sz w:val="22"/>
                <w:szCs w:val="22"/>
              </w:rPr>
            </w:pPr>
            <w:r w:rsidRPr="00983DA0">
              <w:rPr>
                <w:rFonts w:ascii="Arial" w:hAnsi="Arial" w:cs="Arial"/>
                <w:b/>
                <w:bCs/>
                <w:noProof/>
                <w:sz w:val="22"/>
                <w:szCs w:val="22"/>
              </w:rPr>
              <w:t>Key words:</w:t>
            </w:r>
            <w:r w:rsidRPr="00983DA0">
              <w:rPr>
                <w:rFonts w:ascii="Arial" w:hAnsi="Arial" w:cs="Arial"/>
                <w:noProof/>
                <w:sz w:val="22"/>
                <w:szCs w:val="22"/>
              </w:rPr>
              <w:t xml:space="preserve"> AFOP, Organising Pneumonia, COP</w:t>
            </w:r>
          </w:p>
          <w:p w14:paraId="7F8381F0" w14:textId="2246CE63" w:rsidR="001564A4" w:rsidRPr="00983DA0" w:rsidRDefault="001564A4" w:rsidP="000A28E2">
            <w:pPr>
              <w:pStyle w:val="Pa12"/>
              <w:rPr>
                <w:sz w:val="22"/>
                <w:szCs w:val="22"/>
              </w:rPr>
            </w:pP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r w:rsidRPr="00983DA0">
              <w:rPr>
                <w:sz w:val="22"/>
                <w:szCs w:val="22"/>
              </w:rPr>
              <w:br/>
            </w:r>
          </w:p>
          <w:p w14:paraId="731CD908" w14:textId="77777777" w:rsidR="001564A4" w:rsidRPr="00983DA0" w:rsidRDefault="001564A4" w:rsidP="000A28E2">
            <w:pPr>
              <w:pStyle w:val="Default"/>
              <w:rPr>
                <w:sz w:val="22"/>
                <w:szCs w:val="22"/>
              </w:rPr>
            </w:pPr>
          </w:p>
          <w:p w14:paraId="34BF0A0F" w14:textId="77777777" w:rsidR="001564A4" w:rsidRPr="00983DA0" w:rsidRDefault="001564A4" w:rsidP="000A28E2">
            <w:pPr>
              <w:pStyle w:val="Default"/>
              <w:rPr>
                <w:sz w:val="22"/>
                <w:szCs w:val="22"/>
              </w:rPr>
            </w:pPr>
          </w:p>
          <w:p w14:paraId="1FF1A88F" w14:textId="77777777" w:rsidR="001564A4" w:rsidRPr="00983DA0" w:rsidRDefault="001564A4" w:rsidP="000A28E2">
            <w:pPr>
              <w:pStyle w:val="Pa12"/>
              <w:rPr>
                <w:rStyle w:val="A4"/>
                <w:bCs/>
              </w:rPr>
            </w:pP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r w:rsidRPr="00983DA0">
              <w:rPr>
                <w:rStyle w:val="A4"/>
                <w:bCs/>
              </w:rPr>
              <w:br/>
            </w:r>
          </w:p>
          <w:p w14:paraId="14DC37E4" w14:textId="77777777" w:rsidR="001564A4" w:rsidRPr="00983DA0" w:rsidRDefault="001564A4" w:rsidP="000A28E2">
            <w:pPr>
              <w:pStyle w:val="Default"/>
              <w:rPr>
                <w:rStyle w:val="A4"/>
                <w:bCs/>
              </w:rPr>
            </w:pPr>
          </w:p>
          <w:p w14:paraId="5F58D34F" w14:textId="77777777" w:rsidR="001564A4" w:rsidRPr="00983DA0" w:rsidRDefault="001564A4" w:rsidP="000A28E2">
            <w:pPr>
              <w:pStyle w:val="Default"/>
              <w:rPr>
                <w:sz w:val="22"/>
                <w:szCs w:val="22"/>
                <w:lang w:val="en-US" w:eastAsia="en-GB"/>
              </w:rPr>
            </w:pP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r w:rsidRPr="00983DA0">
              <w:rPr>
                <w:sz w:val="22"/>
                <w:szCs w:val="22"/>
                <w:lang w:val="en-US" w:eastAsia="en-GB"/>
              </w:rPr>
              <w:br/>
            </w:r>
          </w:p>
        </w:tc>
      </w:tr>
    </w:tbl>
    <w:p w14:paraId="7C36A9DC" w14:textId="32A70617" w:rsidR="00E0700F" w:rsidRPr="00983DA0" w:rsidRDefault="00E0700F" w:rsidP="001564A4">
      <w:pPr>
        <w:rPr>
          <w:rFonts w:ascii="Arial" w:hAnsi="Arial" w:cs="Arial"/>
          <w:sz w:val="22"/>
          <w:szCs w:val="22"/>
        </w:rPr>
      </w:pPr>
    </w:p>
    <w:sectPr w:rsidR="00E0700F" w:rsidRPr="00983D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1609F"/>
    <w:rsid w:val="0051574E"/>
    <w:rsid w:val="008803FA"/>
    <w:rsid w:val="00983DA0"/>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4.xml><?xml version="1.0" encoding="utf-8"?>
<ds:datastoreItem xmlns:ds="http://schemas.openxmlformats.org/officeDocument/2006/customXml" ds:itemID="{06098E8F-BEDF-4361-B1A4-1A414AB77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Jake Brennan</cp:lastModifiedBy>
  <cp:revision>2</cp:revision>
  <dcterms:created xsi:type="dcterms:W3CDTF">2023-10-18T21:30:00Z</dcterms:created>
  <dcterms:modified xsi:type="dcterms:W3CDTF">2023-10-18T21:30:00Z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