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07F3848C" w14:textId="77777777" w:rsidR="002B7FC8" w:rsidRDefault="00F16B61" w:rsidP="00E36AD7">
            <w:pPr>
              <w:jc w:val="both"/>
              <w:rPr>
                <w:rFonts w:ascii="Arial" w:hAnsi="Arial" w:cs="Arial"/>
                <w:sz w:val="22"/>
                <w:szCs w:val="22"/>
              </w:rPr>
            </w:pPr>
            <w:r>
              <w:rPr>
                <w:rFonts w:ascii="Arial" w:hAnsi="Arial" w:cs="Arial"/>
                <w:b/>
                <w:sz w:val="22"/>
                <w:szCs w:val="22"/>
              </w:rPr>
              <w:t>Title</w:t>
            </w:r>
            <w:r w:rsidR="003A6236">
              <w:rPr>
                <w:rFonts w:ascii="Arial" w:hAnsi="Arial" w:cs="Arial"/>
                <w:b/>
                <w:sz w:val="22"/>
                <w:szCs w:val="22"/>
              </w:rPr>
              <w:t xml:space="preserve"> of Symposium</w:t>
            </w:r>
            <w:r w:rsidR="00E36AD7" w:rsidRPr="00E36AD7">
              <w:rPr>
                <w:rFonts w:ascii="Arial" w:hAnsi="Arial" w:cs="Arial"/>
                <w:b/>
                <w:sz w:val="22"/>
                <w:szCs w:val="22"/>
              </w:rPr>
              <w:t xml:space="preserve"> </w:t>
            </w:r>
            <w:r w:rsidR="00242808">
              <w:rPr>
                <w:rFonts w:ascii="Arial" w:hAnsi="Arial" w:cs="Arial"/>
                <w:sz w:val="22"/>
                <w:szCs w:val="22"/>
              </w:rPr>
              <w:t>(Sentence case)</w:t>
            </w:r>
          </w:p>
          <w:p w14:paraId="3E5EC39D" w14:textId="77777777" w:rsidR="00DB42D9" w:rsidRDefault="00DB42D9" w:rsidP="00E36AD7">
            <w:pPr>
              <w:jc w:val="both"/>
              <w:rPr>
                <w:rFonts w:ascii="Arial" w:hAnsi="Arial" w:cs="Arial"/>
                <w:sz w:val="22"/>
                <w:szCs w:val="22"/>
              </w:rPr>
            </w:pPr>
            <w:r>
              <w:rPr>
                <w:rFonts w:ascii="Arial" w:hAnsi="Arial" w:cs="Arial"/>
                <w:sz w:val="22"/>
                <w:szCs w:val="22"/>
              </w:rPr>
              <w:t>Using e</w:t>
            </w:r>
            <w:r w:rsidRPr="00E429B3">
              <w:rPr>
                <w:rFonts w:ascii="Arial" w:hAnsi="Arial" w:cs="Arial"/>
                <w:sz w:val="22"/>
                <w:szCs w:val="22"/>
              </w:rPr>
              <w:t xml:space="preserve">vidence </w:t>
            </w:r>
            <w:r>
              <w:rPr>
                <w:rFonts w:ascii="Arial" w:hAnsi="Arial" w:cs="Arial"/>
                <w:sz w:val="22"/>
                <w:szCs w:val="22"/>
              </w:rPr>
              <w:t xml:space="preserve">to improve </w:t>
            </w:r>
            <w:r w:rsidRPr="00E429B3">
              <w:rPr>
                <w:rFonts w:ascii="Arial" w:hAnsi="Arial" w:cs="Arial"/>
                <w:sz w:val="22"/>
                <w:szCs w:val="22"/>
              </w:rPr>
              <w:t xml:space="preserve">health equity: </w:t>
            </w:r>
            <w:r>
              <w:rPr>
                <w:rFonts w:ascii="Arial" w:hAnsi="Arial" w:cs="Arial"/>
                <w:sz w:val="22"/>
                <w:szCs w:val="22"/>
              </w:rPr>
              <w:t>The role of evaluation capacity building in</w:t>
            </w:r>
            <w:r w:rsidRPr="00E429B3">
              <w:rPr>
                <w:rFonts w:ascii="Arial" w:hAnsi="Arial" w:cs="Arial"/>
                <w:sz w:val="22"/>
                <w:szCs w:val="22"/>
              </w:rPr>
              <w:t xml:space="preserve"> health promotion</w:t>
            </w:r>
            <w:r>
              <w:rPr>
                <w:rFonts w:ascii="Arial" w:hAnsi="Arial" w:cs="Arial"/>
                <w:sz w:val="22"/>
                <w:szCs w:val="22"/>
              </w:rPr>
              <w:t xml:space="preserve"> organisation</w:t>
            </w:r>
            <w:r w:rsidRPr="00E429B3">
              <w:rPr>
                <w:rFonts w:ascii="Arial" w:hAnsi="Arial" w:cs="Arial"/>
                <w:sz w:val="22"/>
                <w:szCs w:val="22"/>
              </w:rPr>
              <w:t>s</w:t>
            </w:r>
          </w:p>
          <w:p w14:paraId="5A4DE24F" w14:textId="2430A69C" w:rsidR="005E62A6" w:rsidRPr="00242808" w:rsidRDefault="005E62A6" w:rsidP="00E36AD7">
            <w:pPr>
              <w:jc w:val="both"/>
              <w:rPr>
                <w:rFonts w:ascii="Arial" w:hAnsi="Arial" w:cs="Arial"/>
                <w:sz w:val="22"/>
                <w:szCs w:val="22"/>
              </w:rPr>
            </w:pPr>
          </w:p>
        </w:tc>
      </w:tr>
      <w:tr w:rsidR="002B7FC8" w:rsidRPr="0003525D" w14:paraId="5A4DE264" w14:textId="77777777" w:rsidTr="00D71EFE">
        <w:trPr>
          <w:trHeight w:val="7663"/>
        </w:trPr>
        <w:tc>
          <w:tcPr>
            <w:tcW w:w="8640" w:type="dxa"/>
          </w:tcPr>
          <w:p w14:paraId="3322D3D4" w14:textId="77777777" w:rsidR="00DB42D9" w:rsidRDefault="00DB42D9" w:rsidP="00DB42D9">
            <w:pPr>
              <w:jc w:val="both"/>
              <w:rPr>
                <w:rFonts w:ascii="Arial" w:hAnsi="Arial" w:cs="Arial"/>
                <w:b/>
                <w:sz w:val="22"/>
                <w:szCs w:val="22"/>
              </w:rPr>
            </w:pPr>
            <w:r>
              <w:rPr>
                <w:rFonts w:ascii="Arial" w:hAnsi="Arial" w:cs="Arial"/>
                <w:b/>
                <w:sz w:val="22"/>
                <w:szCs w:val="22"/>
              </w:rPr>
              <w:t>General Objective</w:t>
            </w:r>
          </w:p>
          <w:p w14:paraId="20781733" w14:textId="6AFC1197" w:rsidR="00B66A82" w:rsidRDefault="00B66A82" w:rsidP="00DB42D9">
            <w:pPr>
              <w:jc w:val="both"/>
              <w:rPr>
                <w:rFonts w:ascii="Arial" w:hAnsi="Arial" w:cs="Arial"/>
                <w:b/>
                <w:sz w:val="22"/>
                <w:szCs w:val="22"/>
              </w:rPr>
            </w:pPr>
          </w:p>
          <w:p w14:paraId="5A254302" w14:textId="77777777" w:rsidR="00DB42D9" w:rsidRDefault="00DB42D9" w:rsidP="00DB42D9">
            <w:pPr>
              <w:jc w:val="both"/>
              <w:rPr>
                <w:rFonts w:ascii="Arial" w:hAnsi="Arial" w:cs="Arial"/>
                <w:bCs/>
                <w:sz w:val="22"/>
                <w:szCs w:val="22"/>
              </w:rPr>
            </w:pPr>
            <w:r>
              <w:rPr>
                <w:rFonts w:ascii="Arial" w:hAnsi="Arial" w:cs="Arial"/>
                <w:sz w:val="22"/>
                <w:szCs w:val="22"/>
              </w:rPr>
              <w:t xml:space="preserve">Evaluation is an essential component of contemporary health promotion. </w:t>
            </w:r>
            <w:r>
              <w:rPr>
                <w:rFonts w:ascii="Arial" w:hAnsi="Arial" w:cs="Arial"/>
                <w:bCs/>
                <w:sz w:val="22"/>
                <w:szCs w:val="22"/>
              </w:rPr>
              <w:t xml:space="preserve">Evaluation evidence is critical in enabling accountability to funders, contributing to policy and resource allocation and adding to the wider-evidence base for health promotion. </w:t>
            </w:r>
            <w:r>
              <w:rPr>
                <w:rFonts w:ascii="Arial" w:hAnsi="Arial" w:cs="Arial"/>
                <w:sz w:val="22"/>
                <w:szCs w:val="22"/>
              </w:rPr>
              <w:t>Evaluation also plays a key role in promoting population health equity:</w:t>
            </w:r>
            <w:r w:rsidRPr="004D51A6">
              <w:rPr>
                <w:rFonts w:ascii="Arial" w:hAnsi="Arial" w:cs="Arial"/>
                <w:sz w:val="22"/>
                <w:szCs w:val="22"/>
              </w:rPr>
              <w:t xml:space="preserve"> </w:t>
            </w:r>
            <w:r w:rsidRPr="00D0596D">
              <w:rPr>
                <w:rFonts w:ascii="Arial" w:hAnsi="Arial" w:cs="Arial"/>
                <w:sz w:val="22"/>
                <w:szCs w:val="22"/>
              </w:rPr>
              <w:t>it helps us identify whether programs are reaching their intended audience and who may be left behind.</w:t>
            </w:r>
            <w:r>
              <w:rPr>
                <w:rFonts w:ascii="Arial" w:hAnsi="Arial" w:cs="Arial"/>
                <w:sz w:val="22"/>
                <w:szCs w:val="22"/>
              </w:rPr>
              <w:t xml:space="preserve"> Evaluation can </w:t>
            </w:r>
            <w:r>
              <w:rPr>
                <w:rFonts w:ascii="Arial" w:hAnsi="Arial" w:cs="Arial"/>
                <w:bCs/>
                <w:sz w:val="22"/>
                <w:szCs w:val="22"/>
              </w:rPr>
              <w:t xml:space="preserve">engage communities through participatory approaches, </w:t>
            </w:r>
            <w:r>
              <w:rPr>
                <w:rFonts w:ascii="Arial" w:hAnsi="Arial" w:cs="Arial"/>
                <w:sz w:val="22"/>
                <w:szCs w:val="22"/>
              </w:rPr>
              <w:t xml:space="preserve">identify program strengths and areas for improvements </w:t>
            </w:r>
            <w:r w:rsidRPr="008E2FD0">
              <w:rPr>
                <w:rFonts w:ascii="Arial" w:hAnsi="Arial" w:cs="Arial"/>
                <w:sz w:val="22"/>
                <w:szCs w:val="22"/>
              </w:rPr>
              <w:t>and</w:t>
            </w:r>
            <w:r>
              <w:rPr>
                <w:rFonts w:ascii="Arial" w:hAnsi="Arial" w:cs="Arial"/>
                <w:bCs/>
                <w:sz w:val="22"/>
                <w:szCs w:val="22"/>
              </w:rPr>
              <w:t xml:space="preserve"> contribute to the success of health promotion strategies overall. </w:t>
            </w:r>
          </w:p>
          <w:p w14:paraId="62887925" w14:textId="77777777" w:rsidR="00DB42D9" w:rsidRDefault="00DB42D9" w:rsidP="00DB42D9">
            <w:pPr>
              <w:jc w:val="both"/>
              <w:rPr>
                <w:rFonts w:ascii="Arial" w:hAnsi="Arial" w:cs="Arial"/>
                <w:bCs/>
                <w:sz w:val="22"/>
                <w:szCs w:val="22"/>
              </w:rPr>
            </w:pPr>
          </w:p>
          <w:p w14:paraId="289C5CFB" w14:textId="77777777" w:rsidR="00DB42D9" w:rsidRDefault="00DB42D9" w:rsidP="00DB42D9">
            <w:pPr>
              <w:jc w:val="both"/>
              <w:rPr>
                <w:rFonts w:ascii="Arial" w:hAnsi="Arial" w:cs="Arial"/>
                <w:bCs/>
                <w:sz w:val="22"/>
                <w:szCs w:val="22"/>
              </w:rPr>
            </w:pPr>
            <w:r w:rsidRPr="003E771F">
              <w:rPr>
                <w:rFonts w:ascii="Arial" w:hAnsi="Arial" w:cs="Arial"/>
                <w:bCs/>
                <w:sz w:val="22"/>
                <w:szCs w:val="22"/>
              </w:rPr>
              <w:t>To maximise the benefits of doing and using evaluation, the health promotion field recognises a need to improve capacity</w:t>
            </w:r>
            <w:r>
              <w:rPr>
                <w:rFonts w:ascii="Arial" w:hAnsi="Arial" w:cs="Arial"/>
                <w:bCs/>
                <w:sz w:val="22"/>
                <w:szCs w:val="22"/>
              </w:rPr>
              <w:t xml:space="preserve"> for</w:t>
            </w:r>
            <w:r w:rsidRPr="003E771F">
              <w:rPr>
                <w:rFonts w:ascii="Arial" w:hAnsi="Arial" w:cs="Arial"/>
                <w:bCs/>
                <w:sz w:val="22"/>
                <w:szCs w:val="22"/>
              </w:rPr>
              <w:t xml:space="preserve"> evaluation. </w:t>
            </w:r>
            <w:r>
              <w:rPr>
                <w:rFonts w:ascii="Arial" w:hAnsi="Arial" w:cs="Arial"/>
                <w:bCs/>
                <w:sz w:val="22"/>
                <w:szCs w:val="22"/>
              </w:rPr>
              <w:t>In order to progress understanding of the evaluation capacity in health promotion, this symposium aims to:</w:t>
            </w:r>
          </w:p>
          <w:p w14:paraId="11A7C92D" w14:textId="77777777" w:rsidR="00DB42D9" w:rsidRDefault="00DB42D9" w:rsidP="00DB42D9">
            <w:pPr>
              <w:jc w:val="both"/>
              <w:rPr>
                <w:rFonts w:ascii="Arial" w:hAnsi="Arial" w:cs="Arial"/>
                <w:bCs/>
                <w:sz w:val="22"/>
                <w:szCs w:val="22"/>
              </w:rPr>
            </w:pPr>
          </w:p>
          <w:p w14:paraId="6CDD7B77" w14:textId="77777777" w:rsidR="00DB42D9" w:rsidRDefault="00DB42D9" w:rsidP="00DB42D9">
            <w:pPr>
              <w:pStyle w:val="ListParagraph"/>
              <w:numPr>
                <w:ilvl w:val="0"/>
                <w:numId w:val="1"/>
              </w:numPr>
              <w:jc w:val="both"/>
              <w:rPr>
                <w:rFonts w:ascii="Arial" w:hAnsi="Arial" w:cs="Arial"/>
                <w:sz w:val="22"/>
                <w:szCs w:val="22"/>
              </w:rPr>
            </w:pPr>
            <w:r>
              <w:rPr>
                <w:rFonts w:ascii="Arial" w:hAnsi="Arial" w:cs="Arial"/>
                <w:sz w:val="22"/>
                <w:szCs w:val="22"/>
              </w:rPr>
              <w:t xml:space="preserve">Generate conversation about the role of evaluation in promoting health equity and the importance of improving capacity for evaluation; </w:t>
            </w:r>
          </w:p>
          <w:p w14:paraId="5C2DAA6B" w14:textId="77777777" w:rsidR="00557B7E" w:rsidRPr="000F47B1" w:rsidRDefault="00557B7E" w:rsidP="00DB42D9">
            <w:pPr>
              <w:pStyle w:val="ListParagraph"/>
              <w:numPr>
                <w:ilvl w:val="0"/>
                <w:numId w:val="1"/>
              </w:numPr>
              <w:jc w:val="both"/>
              <w:rPr>
                <w:rFonts w:ascii="Arial" w:hAnsi="Arial" w:cs="Arial"/>
                <w:sz w:val="22"/>
                <w:szCs w:val="22"/>
              </w:rPr>
            </w:pPr>
            <w:r>
              <w:rPr>
                <w:rFonts w:ascii="Arial" w:hAnsi="Arial" w:cs="Arial"/>
                <w:bCs/>
                <w:sz w:val="22"/>
                <w:szCs w:val="22"/>
              </w:rPr>
              <w:t>Consider the range of motivations for evaluation capacity building in health promotion organisations;</w:t>
            </w:r>
          </w:p>
          <w:p w14:paraId="4BEB44C3" w14:textId="007D3DB3" w:rsidR="00DB42D9" w:rsidRPr="000F47B1" w:rsidRDefault="00DB42D9" w:rsidP="000F47B1">
            <w:pPr>
              <w:pStyle w:val="ListParagraph"/>
              <w:numPr>
                <w:ilvl w:val="0"/>
                <w:numId w:val="1"/>
              </w:numPr>
              <w:jc w:val="both"/>
              <w:rPr>
                <w:rFonts w:ascii="Arial" w:hAnsi="Arial" w:cs="Arial"/>
                <w:sz w:val="22"/>
                <w:szCs w:val="22"/>
              </w:rPr>
            </w:pPr>
            <w:r w:rsidRPr="000F47B1">
              <w:rPr>
                <w:rFonts w:ascii="Arial" w:hAnsi="Arial" w:cs="Arial"/>
                <w:bCs/>
                <w:sz w:val="22"/>
                <w:szCs w:val="22"/>
              </w:rPr>
              <w:t>Advance collective knowledge of evaluation capacity building approaches relevant to health promotion;</w:t>
            </w:r>
            <w:r w:rsidR="000F47B1" w:rsidRPr="000F47B1">
              <w:rPr>
                <w:rFonts w:ascii="Arial" w:hAnsi="Arial" w:cs="Arial"/>
                <w:bCs/>
                <w:sz w:val="22"/>
                <w:szCs w:val="22"/>
              </w:rPr>
              <w:t xml:space="preserve"> </w:t>
            </w:r>
            <w:r w:rsidRPr="000F47B1">
              <w:rPr>
                <w:rFonts w:ascii="Arial" w:hAnsi="Arial" w:cs="Arial"/>
                <w:bCs/>
                <w:sz w:val="22"/>
                <w:szCs w:val="22"/>
              </w:rPr>
              <w:t>and</w:t>
            </w:r>
          </w:p>
          <w:p w14:paraId="1BB9D24C" w14:textId="77777777" w:rsidR="00DB42D9" w:rsidRDefault="00DB42D9" w:rsidP="00DB42D9">
            <w:pPr>
              <w:pStyle w:val="ListParagraph"/>
              <w:numPr>
                <w:ilvl w:val="0"/>
                <w:numId w:val="1"/>
              </w:numPr>
              <w:jc w:val="both"/>
              <w:rPr>
                <w:rFonts w:ascii="Arial" w:hAnsi="Arial" w:cs="Arial"/>
                <w:sz w:val="22"/>
                <w:szCs w:val="22"/>
              </w:rPr>
            </w:pPr>
            <w:r>
              <w:rPr>
                <w:rFonts w:ascii="Arial" w:hAnsi="Arial" w:cs="Arial"/>
                <w:sz w:val="22"/>
                <w:szCs w:val="22"/>
              </w:rPr>
              <w:t xml:space="preserve">Examine strategies to address </w:t>
            </w:r>
            <w:r w:rsidRPr="0073701C">
              <w:rPr>
                <w:rFonts w:ascii="Arial" w:hAnsi="Arial" w:cs="Arial"/>
                <w:sz w:val="22"/>
                <w:szCs w:val="22"/>
              </w:rPr>
              <w:t xml:space="preserve">important </w:t>
            </w:r>
            <w:r>
              <w:rPr>
                <w:rFonts w:ascii="Arial" w:hAnsi="Arial" w:cs="Arial"/>
                <w:sz w:val="22"/>
                <w:szCs w:val="22"/>
              </w:rPr>
              <w:t>evaluation capacity</w:t>
            </w:r>
            <w:r w:rsidRPr="0073701C">
              <w:rPr>
                <w:rFonts w:ascii="Arial" w:hAnsi="Arial" w:cs="Arial"/>
                <w:sz w:val="22"/>
                <w:szCs w:val="22"/>
              </w:rPr>
              <w:t xml:space="preserve"> factors </w:t>
            </w:r>
            <w:r>
              <w:rPr>
                <w:rFonts w:ascii="Arial" w:hAnsi="Arial" w:cs="Arial"/>
                <w:sz w:val="22"/>
                <w:szCs w:val="22"/>
              </w:rPr>
              <w:t>in a variety of health promotion settings.</w:t>
            </w:r>
          </w:p>
          <w:p w14:paraId="42C55ED6" w14:textId="77777777" w:rsidR="00DB42D9" w:rsidRDefault="00DB42D9" w:rsidP="00DB42D9">
            <w:pPr>
              <w:jc w:val="both"/>
              <w:rPr>
                <w:rFonts w:ascii="Arial" w:hAnsi="Arial" w:cs="Arial"/>
                <w:sz w:val="22"/>
                <w:szCs w:val="22"/>
              </w:rPr>
            </w:pPr>
          </w:p>
          <w:p w14:paraId="28D41E8C" w14:textId="77777777" w:rsidR="00DB42D9" w:rsidRDefault="00DB42D9" w:rsidP="00DB42D9">
            <w:pPr>
              <w:jc w:val="both"/>
              <w:rPr>
                <w:rFonts w:ascii="Arial" w:hAnsi="Arial" w:cs="Arial"/>
                <w:sz w:val="22"/>
                <w:szCs w:val="22"/>
              </w:rPr>
            </w:pPr>
            <w:r w:rsidRPr="003E771F">
              <w:rPr>
                <w:rFonts w:ascii="Arial" w:hAnsi="Arial" w:cs="Arial"/>
                <w:sz w:val="22"/>
                <w:szCs w:val="22"/>
              </w:rPr>
              <w:t xml:space="preserve">This symposium brings together researchers, and experts from government and non-government health promotion agencies to </w:t>
            </w:r>
            <w:r>
              <w:rPr>
                <w:rFonts w:ascii="Arial" w:hAnsi="Arial" w:cs="Arial"/>
                <w:sz w:val="22"/>
                <w:szCs w:val="22"/>
              </w:rPr>
              <w:t xml:space="preserve">discuss the current evidence and </w:t>
            </w:r>
            <w:r w:rsidRPr="003E771F">
              <w:rPr>
                <w:rFonts w:ascii="Arial" w:hAnsi="Arial" w:cs="Arial"/>
                <w:sz w:val="22"/>
                <w:szCs w:val="22"/>
              </w:rPr>
              <w:t>experience</w:t>
            </w:r>
            <w:r>
              <w:rPr>
                <w:rFonts w:ascii="Arial" w:hAnsi="Arial" w:cs="Arial"/>
                <w:sz w:val="22"/>
                <w:szCs w:val="22"/>
              </w:rPr>
              <w:t>s</w:t>
            </w:r>
            <w:r w:rsidRPr="003E771F">
              <w:rPr>
                <w:rFonts w:ascii="Arial" w:hAnsi="Arial" w:cs="Arial"/>
                <w:sz w:val="22"/>
                <w:szCs w:val="22"/>
              </w:rPr>
              <w:t xml:space="preserve">. </w:t>
            </w:r>
            <w:r>
              <w:rPr>
                <w:rFonts w:ascii="Arial" w:hAnsi="Arial" w:cs="Arial"/>
                <w:sz w:val="22"/>
                <w:szCs w:val="22"/>
              </w:rPr>
              <w:t>Audience interaction will encourage participants to reflect on their experience of priorities for evaluation capacity building. A panel discussion will further address practical issues in building evaluation capacity, and priorities for strengthening evaluation capacity in different health promotion settings. Finally, participants will be invited to consider opportunities to address capacity to conduct and use evaluation for improved population health equity.</w:t>
            </w:r>
          </w:p>
          <w:p w14:paraId="6CA49C6D" w14:textId="77777777" w:rsidR="00DB42D9" w:rsidRPr="00947966" w:rsidRDefault="00DB42D9" w:rsidP="00DB42D9">
            <w:pPr>
              <w:jc w:val="both"/>
              <w:rPr>
                <w:rFonts w:ascii="Arial" w:hAnsi="Arial" w:cs="Arial"/>
                <w:sz w:val="22"/>
                <w:szCs w:val="22"/>
              </w:rPr>
            </w:pPr>
          </w:p>
          <w:p w14:paraId="0211EAF3" w14:textId="77777777" w:rsidR="00DB42D9" w:rsidRDefault="00DB42D9" w:rsidP="00DB42D9">
            <w:pPr>
              <w:jc w:val="both"/>
              <w:rPr>
                <w:rFonts w:ascii="Arial" w:hAnsi="Arial" w:cs="Arial"/>
                <w:b/>
                <w:sz w:val="22"/>
                <w:szCs w:val="22"/>
              </w:rPr>
            </w:pPr>
            <w:r>
              <w:rPr>
                <w:rFonts w:ascii="Arial" w:hAnsi="Arial" w:cs="Arial"/>
                <w:b/>
                <w:sz w:val="22"/>
                <w:szCs w:val="22"/>
              </w:rPr>
              <w:t>Proposed format of the session</w:t>
            </w:r>
          </w:p>
          <w:p w14:paraId="3DEAA630" w14:textId="77777777" w:rsidR="00B66A82" w:rsidRDefault="00B66A82" w:rsidP="00DB42D9">
            <w:pPr>
              <w:jc w:val="both"/>
              <w:rPr>
                <w:rFonts w:ascii="Arial" w:hAnsi="Arial" w:cs="Arial"/>
                <w:b/>
                <w:sz w:val="22"/>
                <w:szCs w:val="22"/>
              </w:rPr>
            </w:pPr>
          </w:p>
          <w:p w14:paraId="046F2EBE" w14:textId="77777777" w:rsidR="00DB42D9" w:rsidRDefault="00DB42D9" w:rsidP="00DB42D9">
            <w:pPr>
              <w:jc w:val="both"/>
              <w:rPr>
                <w:rFonts w:ascii="Arial" w:hAnsi="Arial" w:cs="Arial"/>
                <w:bCs/>
                <w:sz w:val="22"/>
                <w:szCs w:val="22"/>
              </w:rPr>
            </w:pPr>
            <w:r>
              <w:rPr>
                <w:rFonts w:ascii="Arial" w:hAnsi="Arial" w:cs="Arial"/>
                <w:bCs/>
                <w:sz w:val="22"/>
                <w:szCs w:val="22"/>
              </w:rPr>
              <w:t>Four speakers will each present for 10 minutes, followed by an interactive discussion between the panel and audience members, moderated by the symposium chair.</w:t>
            </w:r>
          </w:p>
          <w:p w14:paraId="3860E6EC" w14:textId="77777777" w:rsidR="00DB42D9" w:rsidRDefault="00DB42D9" w:rsidP="00DB42D9">
            <w:pPr>
              <w:jc w:val="both"/>
              <w:rPr>
                <w:rFonts w:ascii="Arial" w:hAnsi="Arial" w:cs="Arial"/>
                <w:b/>
                <w:sz w:val="22"/>
                <w:szCs w:val="22"/>
              </w:rPr>
            </w:pPr>
          </w:p>
          <w:p w14:paraId="7887C988" w14:textId="77777777" w:rsidR="00DB42D9" w:rsidRDefault="00DB42D9" w:rsidP="00DB42D9">
            <w:pPr>
              <w:jc w:val="both"/>
              <w:rPr>
                <w:rFonts w:ascii="Arial" w:hAnsi="Arial" w:cs="Arial"/>
                <w:b/>
                <w:sz w:val="22"/>
                <w:szCs w:val="22"/>
              </w:rPr>
            </w:pPr>
            <w:r>
              <w:rPr>
                <w:rFonts w:ascii="Arial" w:hAnsi="Arial" w:cs="Arial"/>
                <w:b/>
                <w:sz w:val="22"/>
                <w:szCs w:val="22"/>
              </w:rPr>
              <w:t>Conference theme and/or subthemes addressed</w:t>
            </w:r>
          </w:p>
          <w:p w14:paraId="6DF66470" w14:textId="77777777" w:rsidR="00B66A82" w:rsidRDefault="00B66A82" w:rsidP="00DB42D9">
            <w:pPr>
              <w:jc w:val="both"/>
              <w:rPr>
                <w:rFonts w:ascii="Arial" w:hAnsi="Arial" w:cs="Arial"/>
                <w:b/>
                <w:sz w:val="22"/>
                <w:szCs w:val="22"/>
              </w:rPr>
            </w:pPr>
          </w:p>
          <w:p w14:paraId="0C4B6736" w14:textId="77777777" w:rsidR="00DB42D9" w:rsidRDefault="00DB42D9" w:rsidP="00DB42D9">
            <w:pPr>
              <w:jc w:val="both"/>
              <w:rPr>
                <w:rFonts w:ascii="Arial" w:hAnsi="Arial" w:cs="Arial"/>
                <w:bCs/>
                <w:sz w:val="22"/>
                <w:szCs w:val="22"/>
              </w:rPr>
            </w:pPr>
            <w:r w:rsidRPr="00DF6378">
              <w:rPr>
                <w:rFonts w:ascii="Arial" w:hAnsi="Arial" w:cs="Arial"/>
                <w:bCs/>
                <w:sz w:val="22"/>
                <w:szCs w:val="22"/>
              </w:rPr>
              <w:t xml:space="preserve">Ensure health equity throughout the life course, within and among countries, making each member of the global society an empowered lifelong learner </w:t>
            </w:r>
          </w:p>
          <w:p w14:paraId="43C33F62" w14:textId="77777777" w:rsidR="00DB42D9" w:rsidRPr="00DF6378" w:rsidRDefault="00DB42D9" w:rsidP="00DB42D9">
            <w:pPr>
              <w:jc w:val="both"/>
              <w:rPr>
                <w:rFonts w:ascii="Arial" w:hAnsi="Arial" w:cs="Arial"/>
                <w:bCs/>
                <w:sz w:val="22"/>
                <w:szCs w:val="22"/>
              </w:rPr>
            </w:pPr>
          </w:p>
          <w:p w14:paraId="3463785B" w14:textId="77777777" w:rsidR="00DB42D9" w:rsidRPr="00DF6378" w:rsidRDefault="00DB42D9" w:rsidP="00DB42D9">
            <w:pPr>
              <w:jc w:val="both"/>
              <w:rPr>
                <w:rFonts w:ascii="Arial" w:hAnsi="Arial" w:cs="Arial"/>
                <w:bCs/>
                <w:sz w:val="22"/>
                <w:szCs w:val="22"/>
              </w:rPr>
            </w:pPr>
            <w:r w:rsidRPr="00DF6378">
              <w:rPr>
                <w:rFonts w:ascii="Arial" w:hAnsi="Arial" w:cs="Arial"/>
                <w:bCs/>
                <w:sz w:val="22"/>
                <w:szCs w:val="22"/>
              </w:rPr>
              <w:t>Build effective, accountable and inclusive governanc</w:t>
            </w:r>
            <w:r>
              <w:rPr>
                <w:rFonts w:ascii="Arial" w:hAnsi="Arial" w:cs="Arial"/>
                <w:bCs/>
                <w:sz w:val="22"/>
                <w:szCs w:val="22"/>
              </w:rPr>
              <w:t>e</w:t>
            </w:r>
            <w:r w:rsidRPr="00DF6378">
              <w:rPr>
                <w:rFonts w:ascii="Arial" w:hAnsi="Arial" w:cs="Arial"/>
                <w:bCs/>
                <w:sz w:val="22"/>
                <w:szCs w:val="22"/>
              </w:rPr>
              <w:t xml:space="preserve"> at all levels that promotes, peace, justice and respect of human rights</w:t>
            </w:r>
          </w:p>
          <w:p w14:paraId="5A4DE263" w14:textId="3A181901" w:rsidR="00DA7A71" w:rsidRPr="00DA7A71" w:rsidRDefault="00DA7A71" w:rsidP="00E36AD7">
            <w:pPr>
              <w:jc w:val="both"/>
              <w:rPr>
                <w:rFonts w:ascii="Arial" w:hAnsi="Arial" w:cs="Arial"/>
                <w:bCs/>
                <w:sz w:val="22"/>
                <w:szCs w:val="22"/>
              </w:rPr>
            </w:pPr>
          </w:p>
        </w:tc>
      </w:tr>
    </w:tbl>
    <w:p w14:paraId="0487DB7E" w14:textId="77777777" w:rsidR="000F47B1" w:rsidRDefault="000F47B1"/>
    <w:tbl>
      <w:tblPr>
        <w:tblStyle w:val="TableGrid"/>
        <w:tblW w:w="8640" w:type="dxa"/>
        <w:tblInd w:w="108" w:type="dxa"/>
        <w:tblLayout w:type="fixed"/>
        <w:tblLook w:val="01E0" w:firstRow="1" w:lastRow="1" w:firstColumn="1" w:lastColumn="1" w:noHBand="0" w:noVBand="0"/>
      </w:tblPr>
      <w:tblGrid>
        <w:gridCol w:w="8640"/>
      </w:tblGrid>
      <w:tr w:rsidR="00490208" w:rsidRPr="0003525D" w14:paraId="72708220" w14:textId="77777777" w:rsidTr="00BE682F">
        <w:tc>
          <w:tcPr>
            <w:tcW w:w="8640" w:type="dxa"/>
          </w:tcPr>
          <w:p w14:paraId="25EEA0A4" w14:textId="77777777" w:rsidR="00490208" w:rsidRDefault="00490208" w:rsidP="00BE682F">
            <w:pPr>
              <w:jc w:val="both"/>
              <w:rPr>
                <w:rFonts w:ascii="Arial" w:hAnsi="Arial" w:cs="Arial"/>
                <w:sz w:val="22"/>
                <w:szCs w:val="22"/>
              </w:rPr>
            </w:pPr>
            <w:r>
              <w:rPr>
                <w:rFonts w:ascii="Arial" w:hAnsi="Arial" w:cs="Arial"/>
                <w:b/>
                <w:sz w:val="22"/>
                <w:szCs w:val="22"/>
              </w:rPr>
              <w:t xml:space="preserve">Title of </w:t>
            </w:r>
            <w:r w:rsidR="00C211D2">
              <w:rPr>
                <w:rFonts w:ascii="Arial" w:hAnsi="Arial" w:cs="Arial"/>
                <w:b/>
                <w:sz w:val="22"/>
                <w:szCs w:val="22"/>
              </w:rPr>
              <w:t>Presentation 1</w:t>
            </w:r>
            <w:r w:rsidRPr="00E36AD7">
              <w:rPr>
                <w:rFonts w:ascii="Arial" w:hAnsi="Arial" w:cs="Arial"/>
                <w:b/>
                <w:sz w:val="22"/>
                <w:szCs w:val="22"/>
              </w:rPr>
              <w:t xml:space="preserve"> </w:t>
            </w:r>
            <w:r>
              <w:rPr>
                <w:rFonts w:ascii="Arial" w:hAnsi="Arial" w:cs="Arial"/>
                <w:sz w:val="22"/>
                <w:szCs w:val="22"/>
              </w:rPr>
              <w:t>(Sentence case)</w:t>
            </w:r>
          </w:p>
          <w:p w14:paraId="56D87C26" w14:textId="77777777" w:rsidR="00B66A82" w:rsidRDefault="00B66A82" w:rsidP="00BE682F">
            <w:pPr>
              <w:jc w:val="both"/>
              <w:rPr>
                <w:rFonts w:ascii="Arial" w:hAnsi="Arial" w:cs="Arial"/>
                <w:sz w:val="22"/>
                <w:szCs w:val="22"/>
              </w:rPr>
            </w:pPr>
            <w:r>
              <w:rPr>
                <w:rFonts w:ascii="Arial" w:hAnsi="Arial" w:cs="Arial"/>
                <w:sz w:val="22"/>
                <w:szCs w:val="22"/>
              </w:rPr>
              <w:t>Towards an understanding of evaluation practice and capacity building</w:t>
            </w:r>
          </w:p>
          <w:p w14:paraId="3C004C00" w14:textId="4E9575E4" w:rsidR="00B66A82" w:rsidRPr="00242808" w:rsidRDefault="00B66A82" w:rsidP="00BE682F">
            <w:pPr>
              <w:jc w:val="both"/>
              <w:rPr>
                <w:rFonts w:ascii="Arial" w:hAnsi="Arial" w:cs="Arial"/>
                <w:sz w:val="22"/>
                <w:szCs w:val="22"/>
              </w:rPr>
            </w:pPr>
          </w:p>
        </w:tc>
      </w:tr>
      <w:tr w:rsidR="00490208" w:rsidRPr="0003525D" w14:paraId="363535C0" w14:textId="77777777" w:rsidTr="00BE682F">
        <w:trPr>
          <w:trHeight w:val="7663"/>
        </w:trPr>
        <w:tc>
          <w:tcPr>
            <w:tcW w:w="8640" w:type="dxa"/>
          </w:tcPr>
          <w:p w14:paraId="5AABCB30" w14:textId="77777777" w:rsidR="00B66A82" w:rsidRDefault="00B66A82" w:rsidP="00B66A82">
            <w:pPr>
              <w:jc w:val="both"/>
              <w:rPr>
                <w:rFonts w:ascii="Arial" w:hAnsi="Arial" w:cs="Arial"/>
                <w:b/>
                <w:sz w:val="22"/>
                <w:szCs w:val="22"/>
              </w:rPr>
            </w:pPr>
            <w:r>
              <w:rPr>
                <w:rFonts w:ascii="Arial" w:hAnsi="Arial" w:cs="Arial"/>
                <w:b/>
                <w:sz w:val="22"/>
                <w:szCs w:val="22"/>
              </w:rPr>
              <w:t>General Objective</w:t>
            </w:r>
          </w:p>
          <w:p w14:paraId="0B9ECA94" w14:textId="77777777" w:rsidR="00B66A82" w:rsidRDefault="00B66A82" w:rsidP="00B66A82">
            <w:pPr>
              <w:jc w:val="both"/>
              <w:rPr>
                <w:rFonts w:ascii="Arial" w:hAnsi="Arial" w:cs="Arial"/>
                <w:sz w:val="22"/>
                <w:szCs w:val="22"/>
              </w:rPr>
            </w:pPr>
          </w:p>
          <w:p w14:paraId="65CE56F2" w14:textId="77777777" w:rsidR="00B66A82" w:rsidRPr="00C54F9D" w:rsidRDefault="00B66A82" w:rsidP="00B66A82">
            <w:pPr>
              <w:jc w:val="both"/>
              <w:rPr>
                <w:rFonts w:ascii="Arial" w:hAnsi="Arial" w:cs="Arial"/>
                <w:sz w:val="22"/>
                <w:szCs w:val="22"/>
              </w:rPr>
            </w:pPr>
            <w:r w:rsidRPr="00C54F9D">
              <w:rPr>
                <w:rFonts w:ascii="Arial" w:hAnsi="Arial" w:cs="Arial"/>
                <w:sz w:val="22"/>
                <w:szCs w:val="22"/>
              </w:rPr>
              <w:t>Evaluation is a core competency in health promotion that can help to address the pressing need for practice-based evidence concerning actions that will assist in reducing health inequities. Among the range of benefits that evaluation offers to policy-makers, practitioners and communities are improving the design of strategies, e</w:t>
            </w:r>
            <w:r>
              <w:rPr>
                <w:rFonts w:ascii="Arial" w:hAnsi="Arial" w:cs="Arial"/>
                <w:sz w:val="22"/>
                <w:szCs w:val="22"/>
              </w:rPr>
              <w:t>xpanding p</w:t>
            </w:r>
            <w:r w:rsidRPr="00C54F9D">
              <w:rPr>
                <w:rFonts w:ascii="Arial" w:hAnsi="Arial" w:cs="Arial"/>
                <w:sz w:val="22"/>
                <w:szCs w:val="22"/>
              </w:rPr>
              <w:t xml:space="preserve">roject reach, facilitating stakeholder engagement, supporting organisational </w:t>
            </w:r>
            <w:r>
              <w:rPr>
                <w:rFonts w:ascii="Arial" w:hAnsi="Arial" w:cs="Arial"/>
                <w:sz w:val="22"/>
                <w:szCs w:val="22"/>
              </w:rPr>
              <w:t>change</w:t>
            </w:r>
            <w:r w:rsidRPr="00C54F9D">
              <w:rPr>
                <w:rFonts w:ascii="Arial" w:hAnsi="Arial" w:cs="Arial"/>
                <w:sz w:val="22"/>
                <w:szCs w:val="22"/>
              </w:rPr>
              <w:t xml:space="preserve">, and enhancing project sustainability.  </w:t>
            </w:r>
          </w:p>
          <w:p w14:paraId="37EA712F" w14:textId="77777777" w:rsidR="00B66A82" w:rsidRPr="00C54F9D" w:rsidRDefault="00B66A82" w:rsidP="00B66A82">
            <w:pPr>
              <w:jc w:val="both"/>
              <w:rPr>
                <w:rFonts w:ascii="Arial" w:hAnsi="Arial" w:cs="Arial"/>
                <w:sz w:val="22"/>
                <w:szCs w:val="22"/>
              </w:rPr>
            </w:pPr>
          </w:p>
          <w:p w14:paraId="3804E7CC" w14:textId="77777777" w:rsidR="00B66A82" w:rsidRPr="00C54F9D" w:rsidRDefault="00B66A82" w:rsidP="00B66A82">
            <w:pPr>
              <w:jc w:val="both"/>
              <w:rPr>
                <w:rFonts w:ascii="Arial" w:hAnsi="Arial" w:cs="Arial"/>
                <w:sz w:val="22"/>
                <w:szCs w:val="22"/>
              </w:rPr>
            </w:pPr>
            <w:r w:rsidRPr="00C54F9D">
              <w:rPr>
                <w:rFonts w:ascii="Arial" w:hAnsi="Arial" w:cs="Arial"/>
                <w:sz w:val="22"/>
                <w:szCs w:val="22"/>
              </w:rPr>
              <w:t>Despite the acknowledged importance of evaluation, it is an area of health promotion program management that is consistently recognised as in need of strengthening.  Th</w:t>
            </w:r>
            <w:r>
              <w:rPr>
                <w:rFonts w:ascii="Arial" w:hAnsi="Arial" w:cs="Arial"/>
                <w:sz w:val="22"/>
                <w:szCs w:val="22"/>
              </w:rPr>
              <w:t>is</w:t>
            </w:r>
            <w:r w:rsidRPr="00C54F9D">
              <w:rPr>
                <w:rFonts w:ascii="Arial" w:hAnsi="Arial" w:cs="Arial"/>
                <w:sz w:val="22"/>
                <w:szCs w:val="22"/>
              </w:rPr>
              <w:t xml:space="preserve"> first </w:t>
            </w:r>
            <w:r>
              <w:rPr>
                <w:rFonts w:ascii="Arial" w:hAnsi="Arial" w:cs="Arial"/>
                <w:sz w:val="22"/>
                <w:szCs w:val="22"/>
              </w:rPr>
              <w:t xml:space="preserve">symposium </w:t>
            </w:r>
            <w:r w:rsidRPr="00C54F9D">
              <w:rPr>
                <w:rFonts w:ascii="Arial" w:hAnsi="Arial" w:cs="Arial"/>
                <w:sz w:val="22"/>
                <w:szCs w:val="22"/>
              </w:rPr>
              <w:t>presentation will examine frameworks and models that identify potentially important determinants of evaluation practice and factors that could catalyse improved evaluation capacity in the health promotion field.</w:t>
            </w:r>
          </w:p>
          <w:p w14:paraId="2F3D6124" w14:textId="77777777" w:rsidR="00B66A82" w:rsidRPr="00C54F9D" w:rsidRDefault="00B66A82" w:rsidP="00B66A82">
            <w:pPr>
              <w:jc w:val="both"/>
              <w:rPr>
                <w:rFonts w:ascii="Arial" w:hAnsi="Arial" w:cs="Arial"/>
                <w:sz w:val="22"/>
                <w:szCs w:val="22"/>
              </w:rPr>
            </w:pPr>
          </w:p>
          <w:p w14:paraId="60C4685C" w14:textId="232E95AF" w:rsidR="00B66A82" w:rsidRPr="00C54F9D" w:rsidRDefault="00B66A82" w:rsidP="00557B7E">
            <w:pPr>
              <w:jc w:val="both"/>
              <w:rPr>
                <w:rFonts w:ascii="Arial" w:hAnsi="Arial" w:cs="Arial"/>
                <w:sz w:val="22"/>
                <w:szCs w:val="22"/>
              </w:rPr>
            </w:pPr>
            <w:r w:rsidRPr="00C54F9D">
              <w:rPr>
                <w:rFonts w:ascii="Arial" w:hAnsi="Arial" w:cs="Arial"/>
                <w:sz w:val="22"/>
                <w:szCs w:val="22"/>
              </w:rPr>
              <w:t>A</w:t>
            </w:r>
            <w:r>
              <w:rPr>
                <w:rFonts w:ascii="Arial" w:hAnsi="Arial" w:cs="Arial"/>
                <w:sz w:val="22"/>
                <w:szCs w:val="22"/>
              </w:rPr>
              <w:t xml:space="preserve">n </w:t>
            </w:r>
            <w:r w:rsidRPr="00C54F9D">
              <w:rPr>
                <w:rFonts w:ascii="Arial" w:hAnsi="Arial" w:cs="Arial"/>
                <w:sz w:val="22"/>
                <w:szCs w:val="22"/>
              </w:rPr>
              <w:t xml:space="preserve">understanding of evaluation practice </w:t>
            </w:r>
            <w:r>
              <w:rPr>
                <w:rFonts w:ascii="Arial" w:hAnsi="Arial" w:cs="Arial"/>
                <w:sz w:val="22"/>
                <w:szCs w:val="22"/>
              </w:rPr>
              <w:t xml:space="preserve">in the health promotion field </w:t>
            </w:r>
            <w:proofErr w:type="gramStart"/>
            <w:r>
              <w:rPr>
                <w:rFonts w:ascii="Arial" w:hAnsi="Arial" w:cs="Arial"/>
                <w:sz w:val="22"/>
                <w:szCs w:val="22"/>
              </w:rPr>
              <w:t>can be informed</w:t>
            </w:r>
            <w:proofErr w:type="gramEnd"/>
            <w:r>
              <w:rPr>
                <w:rFonts w:ascii="Arial" w:hAnsi="Arial" w:cs="Arial"/>
                <w:sz w:val="22"/>
                <w:szCs w:val="22"/>
              </w:rPr>
              <w:t xml:space="preserve"> by </w:t>
            </w:r>
            <w:r w:rsidRPr="00C54F9D">
              <w:rPr>
                <w:rFonts w:ascii="Arial" w:hAnsi="Arial" w:cs="Arial"/>
                <w:sz w:val="22"/>
                <w:szCs w:val="22"/>
              </w:rPr>
              <w:t>literature on evaluation capacity building, knowledge transfer and evidence-based public health. Organi</w:t>
            </w:r>
            <w:r>
              <w:rPr>
                <w:rFonts w:ascii="Arial" w:hAnsi="Arial" w:cs="Arial"/>
                <w:sz w:val="22"/>
                <w:szCs w:val="22"/>
              </w:rPr>
              <w:t>s</w:t>
            </w:r>
            <w:r w:rsidRPr="00C54F9D">
              <w:rPr>
                <w:rFonts w:ascii="Arial" w:hAnsi="Arial" w:cs="Arial"/>
                <w:sz w:val="22"/>
                <w:szCs w:val="22"/>
              </w:rPr>
              <w:t xml:space="preserve">ational learning capacity is posited to influence practitioner knowledge and skills for evaluation and the extent to which these are able to be successfully utilised. Organisational learning capacity encompasses leadership and support, </w:t>
            </w:r>
            <w:r>
              <w:rPr>
                <w:rFonts w:ascii="Arial" w:hAnsi="Arial" w:cs="Arial"/>
                <w:sz w:val="22"/>
                <w:szCs w:val="22"/>
              </w:rPr>
              <w:t xml:space="preserve">the </w:t>
            </w:r>
            <w:r w:rsidRPr="00C54F9D">
              <w:rPr>
                <w:rFonts w:ascii="Arial" w:hAnsi="Arial" w:cs="Arial"/>
                <w:sz w:val="22"/>
                <w:szCs w:val="22"/>
              </w:rPr>
              <w:t xml:space="preserve">presence of a culture of inquiry, systems and structures to enable evaluation practice, and channels for communication of evaluation findings. Communities of practice is a perspective that describes the role that social networks play in learning and knowledge </w:t>
            </w:r>
            <w:r>
              <w:rPr>
                <w:rFonts w:ascii="Arial" w:hAnsi="Arial" w:cs="Arial"/>
                <w:sz w:val="22"/>
                <w:szCs w:val="22"/>
              </w:rPr>
              <w:t>transfer</w:t>
            </w:r>
            <w:r w:rsidRPr="00C54F9D">
              <w:rPr>
                <w:rFonts w:ascii="Arial" w:hAnsi="Arial" w:cs="Arial"/>
                <w:sz w:val="22"/>
                <w:szCs w:val="22"/>
              </w:rPr>
              <w:t xml:space="preserve"> within organisations, by providing personal support, sharing of expertise, and collaborative decision-making about the application of knowledge to practice. Systematic analysis of evidence-informed practice in public health has led to the identification of political, funding-body and wider community factors whic</w:t>
            </w:r>
            <w:r>
              <w:rPr>
                <w:rFonts w:ascii="Arial" w:hAnsi="Arial" w:cs="Arial"/>
                <w:sz w:val="22"/>
                <w:szCs w:val="22"/>
              </w:rPr>
              <w:t>h</w:t>
            </w:r>
            <w:r w:rsidRPr="00C54F9D">
              <w:rPr>
                <w:rFonts w:ascii="Arial" w:hAnsi="Arial" w:cs="Arial"/>
                <w:sz w:val="22"/>
                <w:szCs w:val="22"/>
              </w:rPr>
              <w:t xml:space="preserve"> may influence demand for evaluation, and the conditions under which this is conducted.</w:t>
            </w:r>
          </w:p>
          <w:p w14:paraId="69E479CB" w14:textId="77777777" w:rsidR="00B66A82" w:rsidRPr="00C54F9D" w:rsidRDefault="00B66A82" w:rsidP="00B66A82">
            <w:pPr>
              <w:jc w:val="both"/>
              <w:rPr>
                <w:rFonts w:ascii="Arial" w:hAnsi="Arial" w:cs="Arial"/>
                <w:sz w:val="22"/>
                <w:szCs w:val="22"/>
              </w:rPr>
            </w:pPr>
          </w:p>
          <w:p w14:paraId="7D2161EB" w14:textId="77777777" w:rsidR="00B66A82" w:rsidRDefault="00B66A82" w:rsidP="00B66A82">
            <w:pPr>
              <w:jc w:val="both"/>
              <w:rPr>
                <w:rFonts w:ascii="Arial" w:hAnsi="Arial" w:cs="Arial"/>
                <w:sz w:val="22"/>
                <w:szCs w:val="22"/>
              </w:rPr>
            </w:pPr>
            <w:r>
              <w:rPr>
                <w:rFonts w:ascii="Arial" w:hAnsi="Arial" w:cs="Arial"/>
                <w:sz w:val="22"/>
                <w:szCs w:val="22"/>
              </w:rPr>
              <w:t xml:space="preserve">The </w:t>
            </w:r>
            <w:r w:rsidRPr="00C54F9D">
              <w:rPr>
                <w:rFonts w:ascii="Arial" w:hAnsi="Arial" w:cs="Arial"/>
                <w:sz w:val="22"/>
                <w:szCs w:val="22"/>
              </w:rPr>
              <w:t>individual, organisational system levels factors that may affect the conduct and routinisation of evaluation will be summarised in this presentation, with consideration of their interrelatedness, and amenability to intervention.</w:t>
            </w:r>
          </w:p>
          <w:p w14:paraId="04B67A46" w14:textId="77777777" w:rsidR="00B66A82" w:rsidRDefault="00B66A82" w:rsidP="00B66A82">
            <w:pPr>
              <w:jc w:val="both"/>
              <w:rPr>
                <w:rFonts w:ascii="Arial" w:hAnsi="Arial" w:cs="Arial"/>
                <w:sz w:val="22"/>
                <w:szCs w:val="22"/>
              </w:rPr>
            </w:pPr>
          </w:p>
          <w:p w14:paraId="677D7351" w14:textId="77777777" w:rsidR="00B66A82" w:rsidRDefault="00B66A82" w:rsidP="00B66A82">
            <w:pPr>
              <w:jc w:val="both"/>
              <w:rPr>
                <w:rFonts w:ascii="Arial" w:hAnsi="Arial" w:cs="Arial"/>
                <w:b/>
                <w:sz w:val="22"/>
                <w:szCs w:val="22"/>
              </w:rPr>
            </w:pPr>
            <w:r>
              <w:rPr>
                <w:rFonts w:ascii="Arial" w:hAnsi="Arial" w:cs="Arial"/>
                <w:b/>
                <w:sz w:val="22"/>
                <w:szCs w:val="22"/>
              </w:rPr>
              <w:t>Proposed format of the session</w:t>
            </w:r>
          </w:p>
          <w:p w14:paraId="52BDEADA" w14:textId="77777777" w:rsidR="00B66A82" w:rsidRDefault="00B66A82" w:rsidP="00B66A82">
            <w:pPr>
              <w:jc w:val="both"/>
              <w:rPr>
                <w:rFonts w:ascii="Arial" w:hAnsi="Arial" w:cs="Arial"/>
                <w:b/>
                <w:sz w:val="22"/>
                <w:szCs w:val="22"/>
              </w:rPr>
            </w:pPr>
          </w:p>
          <w:p w14:paraId="5AE793C5" w14:textId="77777777" w:rsidR="00B66A82" w:rsidRPr="000737EE" w:rsidRDefault="00B66A82" w:rsidP="00B66A82">
            <w:pPr>
              <w:jc w:val="both"/>
              <w:rPr>
                <w:rFonts w:ascii="Arial" w:hAnsi="Arial" w:cs="Arial"/>
                <w:bCs/>
                <w:sz w:val="22"/>
                <w:szCs w:val="22"/>
              </w:rPr>
            </w:pPr>
            <w:r>
              <w:rPr>
                <w:rFonts w:ascii="Arial" w:hAnsi="Arial" w:cs="Arial"/>
                <w:bCs/>
                <w:sz w:val="22"/>
                <w:szCs w:val="22"/>
              </w:rPr>
              <w:t>10 minute presentation and participation in panel discussion</w:t>
            </w:r>
          </w:p>
          <w:p w14:paraId="011CDFF6" w14:textId="77777777" w:rsidR="00B66A82" w:rsidRDefault="00B66A82" w:rsidP="00B66A82">
            <w:pPr>
              <w:jc w:val="both"/>
              <w:rPr>
                <w:rFonts w:ascii="Arial" w:hAnsi="Arial" w:cs="Arial"/>
                <w:b/>
                <w:sz w:val="22"/>
                <w:szCs w:val="22"/>
              </w:rPr>
            </w:pPr>
          </w:p>
          <w:p w14:paraId="4BC8895A" w14:textId="77777777" w:rsidR="00B66A82" w:rsidRDefault="00B66A82" w:rsidP="00B66A82">
            <w:pPr>
              <w:jc w:val="both"/>
              <w:rPr>
                <w:rFonts w:ascii="Arial" w:hAnsi="Arial" w:cs="Arial"/>
                <w:b/>
                <w:sz w:val="22"/>
                <w:szCs w:val="22"/>
              </w:rPr>
            </w:pPr>
            <w:r>
              <w:rPr>
                <w:rFonts w:ascii="Arial" w:hAnsi="Arial" w:cs="Arial"/>
                <w:b/>
                <w:sz w:val="22"/>
                <w:szCs w:val="22"/>
              </w:rPr>
              <w:t>Conference theme and/or subthemes addressed</w:t>
            </w:r>
          </w:p>
          <w:p w14:paraId="674A293F" w14:textId="77777777" w:rsidR="00B66A82" w:rsidRPr="000737EE" w:rsidRDefault="00B66A82" w:rsidP="00B66A82">
            <w:pPr>
              <w:jc w:val="both"/>
              <w:rPr>
                <w:rFonts w:ascii="Arial" w:hAnsi="Arial" w:cs="Arial"/>
                <w:bCs/>
                <w:sz w:val="22"/>
                <w:szCs w:val="22"/>
              </w:rPr>
            </w:pPr>
          </w:p>
          <w:p w14:paraId="729EA2AD" w14:textId="20889A2D" w:rsidR="00490208" w:rsidRDefault="00B66A82" w:rsidP="00B66A82">
            <w:pPr>
              <w:jc w:val="both"/>
              <w:rPr>
                <w:rFonts w:ascii="Arial" w:hAnsi="Arial" w:cs="Arial"/>
                <w:b/>
                <w:sz w:val="22"/>
                <w:szCs w:val="22"/>
              </w:rPr>
            </w:pPr>
            <w:r w:rsidRPr="00CD645D">
              <w:rPr>
                <w:rFonts w:ascii="Arial" w:hAnsi="Arial" w:cs="Arial"/>
                <w:bCs/>
                <w:sz w:val="22"/>
                <w:szCs w:val="22"/>
              </w:rPr>
              <w:t>Ensure health equity throughout the life course, within and among countries, making each member of the global society an empowered lifelong learner</w:t>
            </w:r>
          </w:p>
          <w:p w14:paraId="4AD3B0DF" w14:textId="77777777" w:rsidR="00490208" w:rsidRPr="00DA7A71" w:rsidRDefault="00490208" w:rsidP="00BE682F">
            <w:pPr>
              <w:jc w:val="both"/>
              <w:rPr>
                <w:rFonts w:ascii="Arial" w:hAnsi="Arial" w:cs="Arial"/>
                <w:bCs/>
                <w:sz w:val="22"/>
                <w:szCs w:val="22"/>
              </w:rPr>
            </w:pPr>
          </w:p>
        </w:tc>
      </w:tr>
    </w:tbl>
    <w:p w14:paraId="1BE570FB" w14:textId="1DE4AE28" w:rsidR="00F407AD" w:rsidRDefault="00F407AD" w:rsidP="004C45A1"/>
    <w:p w14:paraId="68FA018E" w14:textId="77777777" w:rsidR="00F407AD" w:rsidRDefault="00F407AD">
      <w:r>
        <w:br w:type="page"/>
      </w:r>
    </w:p>
    <w:tbl>
      <w:tblPr>
        <w:tblStyle w:val="TableGrid"/>
        <w:tblW w:w="8640" w:type="dxa"/>
        <w:tblInd w:w="108" w:type="dxa"/>
        <w:tblLayout w:type="fixed"/>
        <w:tblLook w:val="01E0" w:firstRow="1" w:lastRow="1" w:firstColumn="1" w:lastColumn="1" w:noHBand="0" w:noVBand="0"/>
      </w:tblPr>
      <w:tblGrid>
        <w:gridCol w:w="8640"/>
      </w:tblGrid>
      <w:tr w:rsidR="00F407AD" w:rsidRPr="0003525D" w14:paraId="499E3D29" w14:textId="77777777" w:rsidTr="00BE682F">
        <w:tc>
          <w:tcPr>
            <w:tcW w:w="8640" w:type="dxa"/>
          </w:tcPr>
          <w:p w14:paraId="3F107D0F" w14:textId="77777777" w:rsidR="00F407AD" w:rsidRDefault="00F407AD" w:rsidP="00BE682F">
            <w:pPr>
              <w:jc w:val="both"/>
              <w:rPr>
                <w:rFonts w:ascii="Arial" w:hAnsi="Arial" w:cs="Arial"/>
                <w:sz w:val="22"/>
                <w:szCs w:val="22"/>
              </w:rPr>
            </w:pPr>
            <w:r>
              <w:rPr>
                <w:rFonts w:ascii="Arial" w:hAnsi="Arial" w:cs="Arial"/>
                <w:b/>
                <w:sz w:val="22"/>
                <w:szCs w:val="22"/>
              </w:rPr>
              <w:lastRenderedPageBreak/>
              <w:t>Title of Presentation 2</w:t>
            </w:r>
            <w:r w:rsidRPr="00E36AD7">
              <w:rPr>
                <w:rFonts w:ascii="Arial" w:hAnsi="Arial" w:cs="Arial"/>
                <w:b/>
                <w:sz w:val="22"/>
                <w:szCs w:val="22"/>
              </w:rPr>
              <w:t xml:space="preserve"> </w:t>
            </w:r>
            <w:r>
              <w:rPr>
                <w:rFonts w:ascii="Arial" w:hAnsi="Arial" w:cs="Arial"/>
                <w:sz w:val="22"/>
                <w:szCs w:val="22"/>
              </w:rPr>
              <w:t>(Sentence case)</w:t>
            </w:r>
          </w:p>
          <w:p w14:paraId="769A76D2" w14:textId="77777777" w:rsidR="00D04AF7" w:rsidRDefault="00D04AF7" w:rsidP="00D04AF7">
            <w:pPr>
              <w:jc w:val="both"/>
              <w:rPr>
                <w:rFonts w:ascii="Arial" w:hAnsi="Arial" w:cs="Arial"/>
                <w:sz w:val="22"/>
                <w:szCs w:val="22"/>
              </w:rPr>
            </w:pPr>
            <w:r>
              <w:rPr>
                <w:rFonts w:ascii="Arial" w:hAnsi="Arial" w:cs="Arial"/>
                <w:sz w:val="22"/>
                <w:szCs w:val="22"/>
              </w:rPr>
              <w:t xml:space="preserve">What influences evaluation practice in health promotion? Evidence from an Australia-wide study </w:t>
            </w:r>
          </w:p>
          <w:p w14:paraId="5A1A9A4C" w14:textId="0ABED43A" w:rsidR="00D04AF7" w:rsidRPr="00242808" w:rsidRDefault="00D04AF7" w:rsidP="00BE682F">
            <w:pPr>
              <w:jc w:val="both"/>
              <w:rPr>
                <w:rFonts w:ascii="Arial" w:hAnsi="Arial" w:cs="Arial"/>
                <w:sz w:val="22"/>
                <w:szCs w:val="22"/>
              </w:rPr>
            </w:pPr>
          </w:p>
        </w:tc>
      </w:tr>
      <w:tr w:rsidR="00F407AD" w:rsidRPr="0003525D" w14:paraId="478B2E84" w14:textId="77777777" w:rsidTr="00BE682F">
        <w:trPr>
          <w:trHeight w:val="7663"/>
        </w:trPr>
        <w:tc>
          <w:tcPr>
            <w:tcW w:w="8640" w:type="dxa"/>
          </w:tcPr>
          <w:p w14:paraId="701D02EB" w14:textId="77777777" w:rsidR="00D04AF7" w:rsidRPr="007071CD" w:rsidRDefault="00D04AF7" w:rsidP="00D04AF7">
            <w:pPr>
              <w:jc w:val="both"/>
              <w:rPr>
                <w:rFonts w:ascii="Arial" w:hAnsi="Arial" w:cs="Arial"/>
                <w:b/>
                <w:sz w:val="22"/>
                <w:szCs w:val="22"/>
              </w:rPr>
            </w:pPr>
            <w:r>
              <w:rPr>
                <w:rFonts w:ascii="Arial" w:hAnsi="Arial" w:cs="Arial"/>
                <w:b/>
                <w:sz w:val="22"/>
                <w:szCs w:val="22"/>
              </w:rPr>
              <w:t>General Objective</w:t>
            </w:r>
          </w:p>
          <w:p w14:paraId="0EECB5F3" w14:textId="77777777" w:rsidR="00D04AF7" w:rsidRDefault="00D04AF7" w:rsidP="00D04AF7">
            <w:pPr>
              <w:jc w:val="both"/>
              <w:rPr>
                <w:rFonts w:ascii="Arial" w:hAnsi="Arial" w:cs="Arial"/>
                <w:sz w:val="22"/>
                <w:szCs w:val="22"/>
              </w:rPr>
            </w:pPr>
            <w:r>
              <w:rPr>
                <w:rFonts w:ascii="Arial" w:hAnsi="Arial" w:cs="Arial"/>
                <w:sz w:val="22"/>
                <w:szCs w:val="22"/>
              </w:rPr>
              <w:t xml:space="preserve">In order to plan comprehensive, evidence-based strategies to improve health promotion evaluation capacity, there is a need to deepen our understanding of what influences evaluation practice in health promotion organisations and the wider prevention system. </w:t>
            </w:r>
          </w:p>
          <w:p w14:paraId="2A0CDE61" w14:textId="77777777" w:rsidR="00D04AF7" w:rsidRDefault="00D04AF7" w:rsidP="00D04AF7">
            <w:pPr>
              <w:jc w:val="both"/>
              <w:rPr>
                <w:rFonts w:ascii="Arial" w:hAnsi="Arial" w:cs="Arial"/>
                <w:sz w:val="22"/>
                <w:szCs w:val="22"/>
              </w:rPr>
            </w:pPr>
          </w:p>
          <w:p w14:paraId="4ABC046E" w14:textId="77777777" w:rsidR="00D04AF7" w:rsidRDefault="00D04AF7" w:rsidP="00D04AF7">
            <w:pPr>
              <w:jc w:val="both"/>
              <w:rPr>
                <w:rFonts w:ascii="Arial" w:hAnsi="Arial" w:cs="Arial"/>
                <w:sz w:val="22"/>
                <w:szCs w:val="22"/>
              </w:rPr>
            </w:pPr>
            <w:r>
              <w:rPr>
                <w:rFonts w:ascii="Arial" w:hAnsi="Arial" w:cs="Arial"/>
                <w:sz w:val="22"/>
                <w:szCs w:val="22"/>
              </w:rPr>
              <w:t>This session presents evidence from a recently completed, three year Australia-wide, mixed-methods research project. The landmark study aimed to identify the key individual, organisational and system-level factors that affect health promotion practice and better understand how these factors act to influence evaluation practice and quality.</w:t>
            </w:r>
          </w:p>
          <w:p w14:paraId="2A02DDF5" w14:textId="77777777" w:rsidR="00D04AF7" w:rsidRDefault="00D04AF7" w:rsidP="00D04AF7">
            <w:pPr>
              <w:jc w:val="both"/>
              <w:rPr>
                <w:rFonts w:ascii="Arial" w:hAnsi="Arial" w:cs="Arial"/>
                <w:sz w:val="22"/>
                <w:szCs w:val="22"/>
              </w:rPr>
            </w:pPr>
          </w:p>
          <w:p w14:paraId="4B09CC5B" w14:textId="77777777" w:rsidR="00D04AF7" w:rsidRDefault="00D04AF7" w:rsidP="00D04AF7">
            <w:pPr>
              <w:jc w:val="both"/>
              <w:rPr>
                <w:rFonts w:ascii="Arial" w:hAnsi="Arial" w:cs="Arial"/>
                <w:sz w:val="22"/>
                <w:szCs w:val="22"/>
              </w:rPr>
            </w:pPr>
            <w:r>
              <w:rPr>
                <w:rFonts w:ascii="Arial" w:hAnsi="Arial" w:cs="Arial"/>
                <w:sz w:val="22"/>
                <w:szCs w:val="22"/>
              </w:rPr>
              <w:t xml:space="preserve">Building on the theoretical frameworks of evaluation capacity, the study examined the perspectives of health promotion practitioners and managers regarding the barriers and facilitators to evaluation practice in government and non-government organisations using qualitative interviews (n=40) and a validated survey (n=219). Finally, the study reviewed the methods used in health promotion evaluation reports (n=394) and conducted a quality appraisal. </w:t>
            </w:r>
          </w:p>
          <w:p w14:paraId="51F19C6B" w14:textId="77777777" w:rsidR="00D04AF7" w:rsidRDefault="00D04AF7" w:rsidP="00D04AF7">
            <w:pPr>
              <w:jc w:val="both"/>
              <w:rPr>
                <w:rFonts w:ascii="Arial" w:hAnsi="Arial" w:cs="Arial"/>
                <w:sz w:val="22"/>
                <w:szCs w:val="22"/>
              </w:rPr>
            </w:pPr>
          </w:p>
          <w:p w14:paraId="7F84F5E5" w14:textId="2ADA53E5" w:rsidR="000F47B1" w:rsidRDefault="00D04AF7" w:rsidP="000F47B1">
            <w:pPr>
              <w:jc w:val="both"/>
              <w:rPr>
                <w:rFonts w:ascii="Arial" w:hAnsi="Arial" w:cs="Arial"/>
                <w:sz w:val="22"/>
                <w:szCs w:val="22"/>
              </w:rPr>
            </w:pPr>
            <w:r>
              <w:rPr>
                <w:rFonts w:ascii="Arial" w:hAnsi="Arial" w:cs="Arial"/>
                <w:sz w:val="22"/>
                <w:szCs w:val="22"/>
              </w:rPr>
              <w:t>The findings from this research project contribute much needed evidence of factors that influence evaluation practice within health promotion. In particular, the presentation will highlight outcomes of the research project in</w:t>
            </w:r>
            <w:r w:rsidR="000F47B1">
              <w:rPr>
                <w:rFonts w:ascii="Arial" w:hAnsi="Arial" w:cs="Arial"/>
                <w:sz w:val="22"/>
                <w:szCs w:val="22"/>
              </w:rPr>
              <w:t>cluding:</w:t>
            </w:r>
            <w:r>
              <w:rPr>
                <w:rFonts w:ascii="Arial" w:hAnsi="Arial" w:cs="Arial"/>
                <w:sz w:val="22"/>
                <w:szCs w:val="22"/>
              </w:rPr>
              <w:t xml:space="preserve"> </w:t>
            </w:r>
          </w:p>
          <w:p w14:paraId="14D13BDB" w14:textId="77777777" w:rsidR="000F47B1" w:rsidRDefault="000F47B1" w:rsidP="000F47B1">
            <w:pPr>
              <w:jc w:val="both"/>
              <w:rPr>
                <w:rFonts w:ascii="Arial" w:hAnsi="Arial" w:cs="Arial"/>
                <w:sz w:val="22"/>
                <w:szCs w:val="22"/>
              </w:rPr>
            </w:pPr>
          </w:p>
          <w:p w14:paraId="17EDA1A0" w14:textId="7DB8CA71" w:rsidR="00D04AF7" w:rsidRDefault="00557B7E" w:rsidP="00557B7E">
            <w:pPr>
              <w:pStyle w:val="ListParagraph"/>
              <w:numPr>
                <w:ilvl w:val="0"/>
                <w:numId w:val="4"/>
              </w:numPr>
              <w:jc w:val="both"/>
              <w:rPr>
                <w:rFonts w:ascii="Arial" w:hAnsi="Arial" w:cs="Arial"/>
                <w:sz w:val="22"/>
                <w:szCs w:val="22"/>
              </w:rPr>
            </w:pPr>
            <w:r>
              <w:rPr>
                <w:rFonts w:ascii="Arial" w:hAnsi="Arial" w:cs="Arial"/>
                <w:sz w:val="22"/>
                <w:szCs w:val="22"/>
              </w:rPr>
              <w:t>t</w:t>
            </w:r>
            <w:r w:rsidR="00D04AF7" w:rsidRPr="00FB101C">
              <w:rPr>
                <w:rFonts w:ascii="Arial" w:hAnsi="Arial" w:cs="Arial"/>
                <w:sz w:val="22"/>
                <w:szCs w:val="22"/>
              </w:rPr>
              <w:t xml:space="preserve">he </w:t>
            </w:r>
            <w:r w:rsidR="00D04AF7">
              <w:rPr>
                <w:rFonts w:ascii="Arial" w:hAnsi="Arial" w:cs="Arial"/>
                <w:sz w:val="22"/>
                <w:szCs w:val="22"/>
              </w:rPr>
              <w:t xml:space="preserve">level of </w:t>
            </w:r>
            <w:r w:rsidR="00D04AF7" w:rsidRPr="00FB101C">
              <w:rPr>
                <w:rFonts w:ascii="Arial" w:hAnsi="Arial" w:cs="Arial"/>
                <w:sz w:val="22"/>
                <w:szCs w:val="22"/>
              </w:rPr>
              <w:t xml:space="preserve">engagement of the health promotion sector in the </w:t>
            </w:r>
            <w:r w:rsidR="00D04AF7">
              <w:rPr>
                <w:rFonts w:ascii="Arial" w:hAnsi="Arial" w:cs="Arial"/>
                <w:sz w:val="22"/>
                <w:szCs w:val="22"/>
              </w:rPr>
              <w:t>research</w:t>
            </w:r>
            <w:r>
              <w:rPr>
                <w:rFonts w:ascii="Arial" w:hAnsi="Arial" w:cs="Arial"/>
                <w:sz w:val="22"/>
                <w:szCs w:val="22"/>
              </w:rPr>
              <w:t>;</w:t>
            </w:r>
          </w:p>
          <w:p w14:paraId="125E36D1" w14:textId="405B3458" w:rsidR="00D04AF7" w:rsidRDefault="00557B7E" w:rsidP="00557B7E">
            <w:pPr>
              <w:pStyle w:val="ListParagraph"/>
              <w:numPr>
                <w:ilvl w:val="0"/>
                <w:numId w:val="4"/>
              </w:numPr>
              <w:jc w:val="both"/>
              <w:rPr>
                <w:rFonts w:ascii="Arial" w:hAnsi="Arial" w:cs="Arial"/>
                <w:sz w:val="22"/>
                <w:szCs w:val="22"/>
              </w:rPr>
            </w:pPr>
            <w:r>
              <w:rPr>
                <w:rFonts w:ascii="Arial" w:hAnsi="Arial" w:cs="Arial"/>
                <w:sz w:val="22"/>
                <w:szCs w:val="22"/>
              </w:rPr>
              <w:t>t</w:t>
            </w:r>
            <w:r w:rsidR="00D04AF7">
              <w:rPr>
                <w:rFonts w:ascii="Arial" w:hAnsi="Arial" w:cs="Arial"/>
                <w:sz w:val="22"/>
                <w:szCs w:val="22"/>
              </w:rPr>
              <w:t>he identification of common factors that influence evaluation practice in health promotion agencies, especially leadership, organisational culture, resourcing and administrative requirements and expectations</w:t>
            </w:r>
            <w:r>
              <w:rPr>
                <w:rFonts w:ascii="Arial" w:hAnsi="Arial" w:cs="Arial"/>
                <w:sz w:val="22"/>
                <w:szCs w:val="22"/>
              </w:rPr>
              <w:t>;</w:t>
            </w:r>
            <w:r w:rsidR="00D04AF7">
              <w:rPr>
                <w:rFonts w:ascii="Arial" w:hAnsi="Arial" w:cs="Arial"/>
                <w:sz w:val="22"/>
                <w:szCs w:val="22"/>
              </w:rPr>
              <w:t xml:space="preserve"> </w:t>
            </w:r>
          </w:p>
          <w:p w14:paraId="4369B28A" w14:textId="77257054" w:rsidR="00D04AF7" w:rsidRDefault="00557B7E" w:rsidP="00557B7E">
            <w:pPr>
              <w:pStyle w:val="ListParagraph"/>
              <w:numPr>
                <w:ilvl w:val="0"/>
                <w:numId w:val="4"/>
              </w:numPr>
              <w:jc w:val="both"/>
              <w:rPr>
                <w:rFonts w:ascii="Arial" w:hAnsi="Arial" w:cs="Arial"/>
                <w:sz w:val="22"/>
                <w:szCs w:val="22"/>
              </w:rPr>
            </w:pPr>
            <w:r>
              <w:rPr>
                <w:rFonts w:ascii="Arial" w:hAnsi="Arial" w:cs="Arial"/>
                <w:sz w:val="22"/>
                <w:szCs w:val="22"/>
              </w:rPr>
              <w:t>t</w:t>
            </w:r>
            <w:r w:rsidR="00D04AF7">
              <w:rPr>
                <w:rFonts w:ascii="Arial" w:hAnsi="Arial" w:cs="Arial"/>
                <w:sz w:val="22"/>
                <w:szCs w:val="22"/>
              </w:rPr>
              <w:t>he relationships between individual, organisational and system level factors and how they affect evaluation practice and quality</w:t>
            </w:r>
            <w:r>
              <w:rPr>
                <w:rFonts w:ascii="Arial" w:hAnsi="Arial" w:cs="Arial"/>
                <w:sz w:val="22"/>
                <w:szCs w:val="22"/>
              </w:rPr>
              <w:t>; and</w:t>
            </w:r>
            <w:r w:rsidR="00D04AF7">
              <w:rPr>
                <w:rFonts w:ascii="Arial" w:hAnsi="Arial" w:cs="Arial"/>
                <w:sz w:val="22"/>
                <w:szCs w:val="22"/>
              </w:rPr>
              <w:t xml:space="preserve"> </w:t>
            </w:r>
          </w:p>
          <w:p w14:paraId="48F31DF7" w14:textId="725344D8" w:rsidR="00D04AF7" w:rsidRDefault="00557B7E" w:rsidP="00557B7E">
            <w:pPr>
              <w:pStyle w:val="ListParagraph"/>
              <w:numPr>
                <w:ilvl w:val="0"/>
                <w:numId w:val="4"/>
              </w:numPr>
              <w:jc w:val="both"/>
              <w:rPr>
                <w:rFonts w:ascii="Arial" w:hAnsi="Arial" w:cs="Arial"/>
                <w:sz w:val="22"/>
                <w:szCs w:val="22"/>
              </w:rPr>
            </w:pPr>
            <w:r>
              <w:rPr>
                <w:rFonts w:ascii="Arial" w:hAnsi="Arial" w:cs="Arial"/>
                <w:sz w:val="22"/>
                <w:szCs w:val="22"/>
              </w:rPr>
              <w:t>p</w:t>
            </w:r>
            <w:r w:rsidR="00D04AF7">
              <w:rPr>
                <w:rFonts w:ascii="Arial" w:hAnsi="Arial" w:cs="Arial"/>
                <w:sz w:val="22"/>
                <w:szCs w:val="22"/>
              </w:rPr>
              <w:t>ivotal factors that should be addressed for the greatest gains in health promotion evaluation capacity.</w:t>
            </w:r>
          </w:p>
          <w:p w14:paraId="31D171A9" w14:textId="77777777" w:rsidR="00D04AF7" w:rsidRDefault="00D04AF7" w:rsidP="00D04AF7">
            <w:pPr>
              <w:jc w:val="both"/>
              <w:rPr>
                <w:rFonts w:ascii="Arial" w:hAnsi="Arial" w:cs="Arial"/>
                <w:sz w:val="22"/>
                <w:szCs w:val="22"/>
              </w:rPr>
            </w:pPr>
          </w:p>
          <w:p w14:paraId="4B022D92" w14:textId="77777777" w:rsidR="00D04AF7" w:rsidRPr="00FB101C" w:rsidRDefault="00D04AF7" w:rsidP="00D04AF7">
            <w:pPr>
              <w:jc w:val="both"/>
              <w:rPr>
                <w:rFonts w:ascii="Arial" w:hAnsi="Arial" w:cs="Arial"/>
                <w:sz w:val="22"/>
                <w:szCs w:val="22"/>
              </w:rPr>
            </w:pPr>
            <w:r>
              <w:rPr>
                <w:rFonts w:ascii="Arial" w:hAnsi="Arial" w:cs="Arial"/>
                <w:sz w:val="22"/>
                <w:szCs w:val="22"/>
              </w:rPr>
              <w:t xml:space="preserve">The implications of the research will discussed in terms of the differences (and similarities) in evaluation practice between types of organisations, and the potential application of evaluation capacity building strategies in health promotion organisations, policy and funding arrangements and health promotion leadership. </w:t>
            </w:r>
          </w:p>
          <w:p w14:paraId="2D9B1754" w14:textId="77777777" w:rsidR="00D04AF7" w:rsidRDefault="00D04AF7" w:rsidP="00D04AF7">
            <w:pPr>
              <w:jc w:val="both"/>
              <w:rPr>
                <w:rFonts w:ascii="Arial" w:hAnsi="Arial" w:cs="Arial"/>
                <w:sz w:val="22"/>
                <w:szCs w:val="22"/>
              </w:rPr>
            </w:pPr>
          </w:p>
          <w:p w14:paraId="31DAAA76" w14:textId="77777777" w:rsidR="00D04AF7" w:rsidRDefault="00D04AF7" w:rsidP="00D04AF7">
            <w:pPr>
              <w:jc w:val="both"/>
              <w:rPr>
                <w:rFonts w:ascii="Arial" w:hAnsi="Arial" w:cs="Arial"/>
                <w:b/>
                <w:sz w:val="22"/>
                <w:szCs w:val="22"/>
              </w:rPr>
            </w:pPr>
            <w:r>
              <w:rPr>
                <w:rFonts w:ascii="Arial" w:hAnsi="Arial" w:cs="Arial"/>
                <w:b/>
                <w:sz w:val="22"/>
                <w:szCs w:val="22"/>
              </w:rPr>
              <w:t>Proposed format of the session</w:t>
            </w:r>
          </w:p>
          <w:p w14:paraId="2CCA4C82" w14:textId="77777777" w:rsidR="00D04AF7" w:rsidRDefault="00D04AF7" w:rsidP="00D04AF7">
            <w:pPr>
              <w:jc w:val="both"/>
              <w:rPr>
                <w:rFonts w:ascii="Arial" w:hAnsi="Arial" w:cs="Arial"/>
                <w:b/>
                <w:sz w:val="22"/>
                <w:szCs w:val="22"/>
              </w:rPr>
            </w:pPr>
          </w:p>
          <w:p w14:paraId="63D0CF71" w14:textId="77777777" w:rsidR="00622BCD" w:rsidRPr="00686DFF" w:rsidRDefault="00622BCD" w:rsidP="00622BCD">
            <w:pPr>
              <w:jc w:val="both"/>
              <w:rPr>
                <w:rFonts w:ascii="Arial" w:hAnsi="Arial" w:cs="Arial"/>
                <w:bCs/>
                <w:sz w:val="22"/>
                <w:szCs w:val="22"/>
              </w:rPr>
            </w:pPr>
            <w:r w:rsidRPr="00686DFF">
              <w:rPr>
                <w:rFonts w:ascii="Arial" w:hAnsi="Arial" w:cs="Arial"/>
                <w:bCs/>
                <w:sz w:val="22"/>
                <w:szCs w:val="22"/>
              </w:rPr>
              <w:t>10 minute presentation and participation in panel discussion</w:t>
            </w:r>
          </w:p>
          <w:p w14:paraId="7675C35C" w14:textId="77777777" w:rsidR="00D04AF7" w:rsidRDefault="00D04AF7" w:rsidP="00D04AF7">
            <w:pPr>
              <w:jc w:val="both"/>
              <w:rPr>
                <w:rFonts w:ascii="Arial" w:hAnsi="Arial" w:cs="Arial"/>
                <w:b/>
                <w:sz w:val="22"/>
                <w:szCs w:val="22"/>
              </w:rPr>
            </w:pPr>
          </w:p>
          <w:p w14:paraId="1ED49E01" w14:textId="77777777" w:rsidR="00D04AF7" w:rsidRDefault="00D04AF7" w:rsidP="00D04AF7">
            <w:pPr>
              <w:jc w:val="both"/>
              <w:rPr>
                <w:rFonts w:ascii="Arial" w:hAnsi="Arial" w:cs="Arial"/>
                <w:b/>
                <w:sz w:val="22"/>
                <w:szCs w:val="22"/>
              </w:rPr>
            </w:pPr>
            <w:r>
              <w:rPr>
                <w:rFonts w:ascii="Arial" w:hAnsi="Arial" w:cs="Arial"/>
                <w:b/>
                <w:sz w:val="22"/>
                <w:szCs w:val="22"/>
              </w:rPr>
              <w:t>Conference theme and/or subthemes addressed</w:t>
            </w:r>
          </w:p>
          <w:p w14:paraId="5DBE5052" w14:textId="77777777" w:rsidR="00D04AF7" w:rsidRPr="000737EE" w:rsidRDefault="00D04AF7" w:rsidP="00D04AF7">
            <w:pPr>
              <w:jc w:val="both"/>
              <w:rPr>
                <w:rFonts w:ascii="Arial" w:hAnsi="Arial" w:cs="Arial"/>
                <w:bCs/>
                <w:sz w:val="22"/>
                <w:szCs w:val="22"/>
              </w:rPr>
            </w:pPr>
          </w:p>
          <w:p w14:paraId="691C5053" w14:textId="77777777" w:rsidR="00D04AF7" w:rsidRDefault="00D04AF7" w:rsidP="00D04AF7">
            <w:pPr>
              <w:jc w:val="both"/>
              <w:rPr>
                <w:rFonts w:ascii="Arial" w:hAnsi="Arial" w:cs="Arial"/>
                <w:b/>
                <w:sz w:val="22"/>
                <w:szCs w:val="22"/>
              </w:rPr>
            </w:pPr>
            <w:r w:rsidRPr="000737EE">
              <w:rPr>
                <w:rFonts w:ascii="Arial" w:hAnsi="Arial" w:cs="Arial"/>
                <w:bCs/>
                <w:sz w:val="22"/>
                <w:szCs w:val="22"/>
              </w:rPr>
              <w:t>Build effective, accountable and inclusive governance at all levels that promotes, peace, justice and respect of human rights</w:t>
            </w:r>
          </w:p>
          <w:p w14:paraId="17AF9F9E" w14:textId="77777777" w:rsidR="00F407AD" w:rsidRPr="00DA7A71" w:rsidRDefault="00F407AD" w:rsidP="00BE682F">
            <w:pPr>
              <w:jc w:val="both"/>
              <w:rPr>
                <w:rFonts w:ascii="Arial" w:hAnsi="Arial" w:cs="Arial"/>
                <w:bCs/>
                <w:sz w:val="22"/>
                <w:szCs w:val="22"/>
              </w:rPr>
            </w:pPr>
          </w:p>
        </w:tc>
      </w:tr>
    </w:tbl>
    <w:p w14:paraId="64E0C4A4" w14:textId="327DC818" w:rsidR="00F407AD" w:rsidRDefault="00F407AD" w:rsidP="004C45A1"/>
    <w:p w14:paraId="0EEB0294" w14:textId="77777777" w:rsidR="00120724" w:rsidRDefault="00120724" w:rsidP="004C45A1"/>
    <w:tbl>
      <w:tblPr>
        <w:tblStyle w:val="TableGrid"/>
        <w:tblW w:w="8640" w:type="dxa"/>
        <w:tblInd w:w="108" w:type="dxa"/>
        <w:tblLayout w:type="fixed"/>
        <w:tblLook w:val="01E0" w:firstRow="1" w:lastRow="1" w:firstColumn="1" w:lastColumn="1" w:noHBand="0" w:noVBand="0"/>
      </w:tblPr>
      <w:tblGrid>
        <w:gridCol w:w="8640"/>
      </w:tblGrid>
      <w:tr w:rsidR="00F407AD" w:rsidRPr="0003525D" w14:paraId="37D50E4E" w14:textId="77777777" w:rsidTr="00BE682F">
        <w:tc>
          <w:tcPr>
            <w:tcW w:w="8640" w:type="dxa"/>
          </w:tcPr>
          <w:p w14:paraId="3D5D9FAB" w14:textId="77777777" w:rsidR="00F407AD" w:rsidRDefault="00F407AD" w:rsidP="00BE682F">
            <w:pPr>
              <w:jc w:val="both"/>
              <w:rPr>
                <w:rFonts w:ascii="Arial" w:hAnsi="Arial" w:cs="Arial"/>
                <w:sz w:val="22"/>
                <w:szCs w:val="22"/>
              </w:rPr>
            </w:pPr>
            <w:r>
              <w:rPr>
                <w:rFonts w:ascii="Arial" w:hAnsi="Arial" w:cs="Arial"/>
                <w:b/>
                <w:sz w:val="22"/>
                <w:szCs w:val="22"/>
              </w:rPr>
              <w:lastRenderedPageBreak/>
              <w:t>Title of Presentation 3</w:t>
            </w:r>
            <w:r w:rsidRPr="00E36AD7">
              <w:rPr>
                <w:rFonts w:ascii="Arial" w:hAnsi="Arial" w:cs="Arial"/>
                <w:b/>
                <w:sz w:val="22"/>
                <w:szCs w:val="22"/>
              </w:rPr>
              <w:t xml:space="preserve"> </w:t>
            </w:r>
            <w:r>
              <w:rPr>
                <w:rFonts w:ascii="Arial" w:hAnsi="Arial" w:cs="Arial"/>
                <w:sz w:val="22"/>
                <w:szCs w:val="22"/>
              </w:rPr>
              <w:t>(Sentence case)</w:t>
            </w:r>
          </w:p>
          <w:p w14:paraId="1A90CBDB" w14:textId="77777777" w:rsidR="00B66A82" w:rsidRDefault="00B66A82" w:rsidP="00BE682F">
            <w:pPr>
              <w:jc w:val="both"/>
              <w:rPr>
                <w:rFonts w:ascii="Arial" w:hAnsi="Arial" w:cs="Arial"/>
                <w:sz w:val="22"/>
                <w:szCs w:val="22"/>
              </w:rPr>
            </w:pPr>
            <w:r>
              <w:rPr>
                <w:rFonts w:ascii="Arial" w:hAnsi="Arial" w:cs="Arial"/>
                <w:sz w:val="22"/>
                <w:szCs w:val="22"/>
              </w:rPr>
              <w:t>Evaluation capacity building – two case studies from Western Australia</w:t>
            </w:r>
          </w:p>
          <w:p w14:paraId="13D6F080" w14:textId="4BC33338" w:rsidR="00B66A82" w:rsidRPr="00242808" w:rsidRDefault="00B66A82" w:rsidP="00BE682F">
            <w:pPr>
              <w:jc w:val="both"/>
              <w:rPr>
                <w:rFonts w:ascii="Arial" w:hAnsi="Arial" w:cs="Arial"/>
                <w:sz w:val="22"/>
                <w:szCs w:val="22"/>
              </w:rPr>
            </w:pPr>
          </w:p>
        </w:tc>
      </w:tr>
      <w:tr w:rsidR="00F407AD" w:rsidRPr="0003525D" w14:paraId="294F36F2" w14:textId="77777777" w:rsidTr="00BE682F">
        <w:trPr>
          <w:trHeight w:val="7663"/>
        </w:trPr>
        <w:tc>
          <w:tcPr>
            <w:tcW w:w="8640" w:type="dxa"/>
          </w:tcPr>
          <w:p w14:paraId="573E64AE" w14:textId="77777777" w:rsidR="00686DFF" w:rsidRDefault="00686DFF" w:rsidP="00686DFF">
            <w:pPr>
              <w:jc w:val="both"/>
              <w:rPr>
                <w:rFonts w:ascii="Arial" w:hAnsi="Arial" w:cs="Arial"/>
                <w:b/>
                <w:sz w:val="22"/>
                <w:szCs w:val="22"/>
              </w:rPr>
            </w:pPr>
            <w:r>
              <w:rPr>
                <w:rFonts w:ascii="Arial" w:hAnsi="Arial" w:cs="Arial"/>
                <w:b/>
                <w:sz w:val="22"/>
                <w:szCs w:val="22"/>
              </w:rPr>
              <w:t>General Objective</w:t>
            </w:r>
          </w:p>
          <w:p w14:paraId="0FA94387" w14:textId="77777777" w:rsidR="00686DFF" w:rsidRDefault="00686DFF" w:rsidP="00686DFF">
            <w:pPr>
              <w:jc w:val="both"/>
              <w:rPr>
                <w:rFonts w:ascii="Arial" w:hAnsi="Arial" w:cs="Arial"/>
                <w:sz w:val="22"/>
                <w:szCs w:val="22"/>
              </w:rPr>
            </w:pPr>
          </w:p>
          <w:p w14:paraId="6B903D20" w14:textId="77777777" w:rsidR="00686DFF" w:rsidRDefault="00686DFF" w:rsidP="00686DFF">
            <w:pPr>
              <w:jc w:val="both"/>
              <w:rPr>
                <w:rFonts w:ascii="Arial" w:hAnsi="Arial" w:cs="Arial"/>
                <w:sz w:val="22"/>
                <w:szCs w:val="22"/>
              </w:rPr>
            </w:pPr>
            <w:r>
              <w:rPr>
                <w:rFonts w:ascii="Arial" w:hAnsi="Arial" w:cs="Arial"/>
                <w:sz w:val="22"/>
                <w:szCs w:val="22"/>
              </w:rPr>
              <w:t>This session will describe two evaluation capacity building (ECB) models in Western Australia (WA) – in sexual health services and in the homelessness sector.</w:t>
            </w:r>
          </w:p>
          <w:p w14:paraId="1785DF7A" w14:textId="77777777" w:rsidR="00686DFF" w:rsidRDefault="00686DFF" w:rsidP="00686DFF">
            <w:pPr>
              <w:jc w:val="both"/>
              <w:rPr>
                <w:rFonts w:ascii="Arial" w:hAnsi="Arial" w:cs="Arial"/>
                <w:sz w:val="22"/>
                <w:szCs w:val="22"/>
              </w:rPr>
            </w:pPr>
          </w:p>
          <w:p w14:paraId="05DAFFB3" w14:textId="77777777" w:rsidR="00686DFF" w:rsidRDefault="00686DFF" w:rsidP="00686DFF">
            <w:pPr>
              <w:jc w:val="both"/>
              <w:rPr>
                <w:rFonts w:ascii="Arial" w:hAnsi="Arial" w:cs="Arial"/>
                <w:sz w:val="22"/>
                <w:szCs w:val="22"/>
              </w:rPr>
            </w:pPr>
            <w:r>
              <w:rPr>
                <w:rFonts w:ascii="Arial" w:hAnsi="Arial" w:cs="Arial"/>
                <w:sz w:val="22"/>
                <w:szCs w:val="22"/>
              </w:rPr>
              <w:t xml:space="preserve">Organisations are increasingly building evaluation capacity to support evidence-informed planning and evaluation of policies, programs and services. There is now growing awareness and acceptance that an investment in outcomes measurement and ECB has the potential to increase organisational sustainability and direct limited resources strategically and equitably. </w:t>
            </w:r>
          </w:p>
          <w:p w14:paraId="3D90283B" w14:textId="77777777" w:rsidR="00686DFF" w:rsidRDefault="00686DFF" w:rsidP="00686DFF">
            <w:pPr>
              <w:jc w:val="both"/>
              <w:rPr>
                <w:rFonts w:ascii="Arial" w:hAnsi="Arial" w:cs="Arial"/>
                <w:sz w:val="22"/>
                <w:szCs w:val="22"/>
              </w:rPr>
            </w:pPr>
          </w:p>
          <w:p w14:paraId="5E642DBB" w14:textId="77777777" w:rsidR="00686DFF" w:rsidRPr="006E76B2" w:rsidRDefault="00686DFF" w:rsidP="00686DFF">
            <w:pPr>
              <w:jc w:val="both"/>
              <w:rPr>
                <w:rFonts w:ascii="Arial" w:hAnsi="Arial" w:cs="Arial"/>
                <w:sz w:val="22"/>
                <w:szCs w:val="22"/>
              </w:rPr>
            </w:pPr>
            <w:r w:rsidRPr="006E76B2">
              <w:rPr>
                <w:rFonts w:ascii="Arial" w:hAnsi="Arial" w:cs="Arial"/>
                <w:sz w:val="22"/>
                <w:szCs w:val="22"/>
              </w:rPr>
              <w:t>The Sexual Health and Blood-Borne Virus Applied Research and Evaluation Network (</w:t>
            </w:r>
            <w:proofErr w:type="spellStart"/>
            <w:r w:rsidRPr="006E76B2">
              <w:rPr>
                <w:rFonts w:ascii="Arial" w:hAnsi="Arial" w:cs="Arial"/>
                <w:sz w:val="22"/>
                <w:szCs w:val="22"/>
              </w:rPr>
              <w:t>SiREN</w:t>
            </w:r>
            <w:proofErr w:type="spellEnd"/>
            <w:r w:rsidRPr="006E76B2">
              <w:rPr>
                <w:rFonts w:ascii="Arial" w:hAnsi="Arial" w:cs="Arial"/>
                <w:sz w:val="22"/>
                <w:szCs w:val="22"/>
              </w:rPr>
              <w:t xml:space="preserve">) was initiated as a pilot project in 2012 by the WA Health Department. </w:t>
            </w:r>
            <w:proofErr w:type="spellStart"/>
            <w:r w:rsidRPr="006E76B2">
              <w:rPr>
                <w:rFonts w:ascii="Arial" w:hAnsi="Arial" w:cs="Arial"/>
                <w:sz w:val="22"/>
                <w:szCs w:val="22"/>
              </w:rPr>
              <w:t>SiREN</w:t>
            </w:r>
            <w:proofErr w:type="spellEnd"/>
            <w:r w:rsidRPr="006E76B2">
              <w:rPr>
                <w:rFonts w:ascii="Arial" w:hAnsi="Arial" w:cs="Arial"/>
                <w:sz w:val="22"/>
                <w:szCs w:val="22"/>
              </w:rPr>
              <w:t xml:space="preserve"> is a partnership model</w:t>
            </w:r>
            <w:r>
              <w:rPr>
                <w:rFonts w:ascii="Arial" w:hAnsi="Arial" w:cs="Arial"/>
                <w:sz w:val="22"/>
                <w:szCs w:val="22"/>
              </w:rPr>
              <w:t>,</w:t>
            </w:r>
            <w:r w:rsidRPr="006E76B2">
              <w:rPr>
                <w:rFonts w:ascii="Arial" w:hAnsi="Arial" w:cs="Arial"/>
                <w:sz w:val="22"/>
                <w:szCs w:val="22"/>
              </w:rPr>
              <w:t xml:space="preserve"> </w:t>
            </w:r>
            <w:r>
              <w:rPr>
                <w:rFonts w:ascii="Arial" w:hAnsi="Arial" w:cs="Arial"/>
                <w:sz w:val="22"/>
                <w:szCs w:val="22"/>
              </w:rPr>
              <w:t xml:space="preserve">coordinated by Curtin University, </w:t>
            </w:r>
            <w:r w:rsidRPr="006E76B2">
              <w:rPr>
                <w:rFonts w:ascii="Arial" w:hAnsi="Arial" w:cs="Arial"/>
                <w:sz w:val="22"/>
                <w:szCs w:val="22"/>
              </w:rPr>
              <w:t xml:space="preserve">involving policy makers, researchers and service providers. Its aims are to facilitate and support research and evaluation activities within organisations funded by the WA Health Sexual Health and Blood Borne Virus Program in order to generate evidence of effectiveness, disseminate knowledge and address research gaps. </w:t>
            </w:r>
          </w:p>
          <w:p w14:paraId="443B5805" w14:textId="77777777" w:rsidR="00686DFF" w:rsidRDefault="00686DFF" w:rsidP="00686DFF">
            <w:pPr>
              <w:jc w:val="both"/>
              <w:rPr>
                <w:rFonts w:ascii="Arial" w:hAnsi="Arial" w:cs="Arial"/>
                <w:sz w:val="22"/>
                <w:szCs w:val="22"/>
              </w:rPr>
            </w:pPr>
          </w:p>
          <w:p w14:paraId="33AC7FAC" w14:textId="77777777" w:rsidR="00686DFF" w:rsidRDefault="00686DFF" w:rsidP="00686DFF">
            <w:pPr>
              <w:jc w:val="both"/>
              <w:rPr>
                <w:rFonts w:ascii="Arial" w:hAnsi="Arial" w:cs="Arial"/>
                <w:sz w:val="22"/>
                <w:szCs w:val="22"/>
              </w:rPr>
            </w:pPr>
            <w:r>
              <w:rPr>
                <w:rFonts w:ascii="Arial" w:hAnsi="Arial" w:cs="Arial"/>
                <w:sz w:val="22"/>
                <w:szCs w:val="22"/>
              </w:rPr>
              <w:t>St Bartholomew’s House (St Bart’s) is a homelessness and housing support agency delivering services to a diverse range of individuals experiencing homelessness or at risk of homelessness. In 2016, St Bart’s embarked on a journey to build internal evaluation capacity and develop an outcomes measurement framework to monitor service effectiveness and drive continuous improvement.</w:t>
            </w:r>
          </w:p>
          <w:p w14:paraId="7BAACABD" w14:textId="77777777" w:rsidR="00686DFF" w:rsidRDefault="00686DFF" w:rsidP="00686DFF">
            <w:pPr>
              <w:jc w:val="both"/>
              <w:rPr>
                <w:rFonts w:ascii="Arial" w:hAnsi="Arial" w:cs="Arial"/>
                <w:sz w:val="22"/>
                <w:szCs w:val="22"/>
              </w:rPr>
            </w:pPr>
          </w:p>
          <w:p w14:paraId="6230AC05" w14:textId="77777777" w:rsidR="00686DFF" w:rsidRDefault="00686DFF" w:rsidP="00686DFF">
            <w:pPr>
              <w:jc w:val="both"/>
              <w:rPr>
                <w:rFonts w:ascii="Arial" w:hAnsi="Arial" w:cs="Arial"/>
                <w:sz w:val="22"/>
                <w:szCs w:val="22"/>
              </w:rPr>
            </w:pPr>
            <w:r>
              <w:rPr>
                <w:rFonts w:ascii="Arial" w:hAnsi="Arial" w:cs="Arial"/>
                <w:sz w:val="22"/>
                <w:szCs w:val="22"/>
              </w:rPr>
              <w:t xml:space="preserve">A critical success factor for ECB is strong leadership at all levels of the organisation. Accountability for service performance, quality and data integrity, an organisational culture that fosters learning and innovation, and data management systems and processes that support the collection of robust data are key enablers. Challenges for ECB include a high turnover of staff in human services, competitive and short term funding models with often limited resources for evaluation, and unrealistic expectations related to what outcomes can be measured. </w:t>
            </w:r>
          </w:p>
          <w:p w14:paraId="0044234C" w14:textId="77777777" w:rsidR="00686DFF" w:rsidRDefault="00686DFF" w:rsidP="00686DFF">
            <w:pPr>
              <w:jc w:val="both"/>
              <w:rPr>
                <w:rFonts w:ascii="Arial" w:hAnsi="Arial" w:cs="Arial"/>
                <w:sz w:val="22"/>
                <w:szCs w:val="22"/>
              </w:rPr>
            </w:pPr>
          </w:p>
          <w:p w14:paraId="510AC82A" w14:textId="77777777" w:rsidR="00686DFF" w:rsidRDefault="00686DFF" w:rsidP="00686DFF">
            <w:pPr>
              <w:jc w:val="both"/>
              <w:rPr>
                <w:rFonts w:ascii="Arial" w:hAnsi="Arial" w:cs="Arial"/>
                <w:sz w:val="22"/>
                <w:szCs w:val="22"/>
              </w:rPr>
            </w:pPr>
            <w:r>
              <w:rPr>
                <w:rFonts w:ascii="Arial" w:hAnsi="Arial" w:cs="Arial"/>
                <w:sz w:val="22"/>
                <w:szCs w:val="22"/>
              </w:rPr>
              <w:t>ECB is a long term investment and it can be 4-5 years before results are seen. The benefits and challenges of each ECB model will be discussed during this session which will be of interest to organisations interested in ECB.</w:t>
            </w:r>
          </w:p>
          <w:p w14:paraId="25ADDDE2" w14:textId="77777777" w:rsidR="00686DFF" w:rsidRDefault="00686DFF" w:rsidP="00686DFF">
            <w:pPr>
              <w:jc w:val="both"/>
              <w:rPr>
                <w:rFonts w:ascii="Arial" w:hAnsi="Arial" w:cs="Arial"/>
                <w:sz w:val="22"/>
                <w:szCs w:val="22"/>
              </w:rPr>
            </w:pPr>
          </w:p>
          <w:p w14:paraId="1A25FB2C" w14:textId="77777777" w:rsidR="00686DFF" w:rsidRDefault="00686DFF" w:rsidP="00686DFF">
            <w:pPr>
              <w:jc w:val="both"/>
              <w:rPr>
                <w:rFonts w:ascii="Arial" w:hAnsi="Arial" w:cs="Arial"/>
                <w:b/>
                <w:sz w:val="22"/>
                <w:szCs w:val="22"/>
              </w:rPr>
            </w:pPr>
            <w:r>
              <w:rPr>
                <w:rFonts w:ascii="Arial" w:hAnsi="Arial" w:cs="Arial"/>
                <w:b/>
                <w:sz w:val="22"/>
                <w:szCs w:val="22"/>
              </w:rPr>
              <w:t>Proposed format of the session</w:t>
            </w:r>
          </w:p>
          <w:p w14:paraId="3E21992E" w14:textId="77777777" w:rsidR="00686DFF" w:rsidRDefault="00686DFF" w:rsidP="00686DFF">
            <w:pPr>
              <w:jc w:val="both"/>
              <w:rPr>
                <w:rFonts w:ascii="Arial" w:hAnsi="Arial" w:cs="Arial"/>
                <w:b/>
                <w:sz w:val="22"/>
                <w:szCs w:val="22"/>
              </w:rPr>
            </w:pPr>
          </w:p>
          <w:p w14:paraId="07BC7493" w14:textId="77777777" w:rsidR="00622BCD" w:rsidRPr="00686DFF" w:rsidRDefault="00622BCD" w:rsidP="00622BCD">
            <w:pPr>
              <w:jc w:val="both"/>
              <w:rPr>
                <w:rFonts w:ascii="Arial" w:hAnsi="Arial" w:cs="Arial"/>
                <w:bCs/>
                <w:sz w:val="22"/>
                <w:szCs w:val="22"/>
              </w:rPr>
            </w:pPr>
            <w:r w:rsidRPr="00686DFF">
              <w:rPr>
                <w:rFonts w:ascii="Arial" w:hAnsi="Arial" w:cs="Arial"/>
                <w:bCs/>
                <w:sz w:val="22"/>
                <w:szCs w:val="22"/>
              </w:rPr>
              <w:t>10 minute presentation and participation in panel discussion</w:t>
            </w:r>
          </w:p>
          <w:p w14:paraId="1E5668B2" w14:textId="77777777" w:rsidR="00686DFF" w:rsidRDefault="00686DFF" w:rsidP="00686DFF">
            <w:pPr>
              <w:jc w:val="both"/>
              <w:rPr>
                <w:rFonts w:ascii="Arial" w:hAnsi="Arial" w:cs="Arial"/>
                <w:b/>
                <w:sz w:val="22"/>
                <w:szCs w:val="22"/>
              </w:rPr>
            </w:pPr>
          </w:p>
          <w:p w14:paraId="73FB4309" w14:textId="77777777" w:rsidR="00686DFF" w:rsidRDefault="00686DFF" w:rsidP="00686DFF">
            <w:pPr>
              <w:jc w:val="both"/>
              <w:rPr>
                <w:rFonts w:ascii="Arial" w:hAnsi="Arial" w:cs="Arial"/>
                <w:b/>
                <w:sz w:val="22"/>
                <w:szCs w:val="22"/>
              </w:rPr>
            </w:pPr>
            <w:r>
              <w:rPr>
                <w:rFonts w:ascii="Arial" w:hAnsi="Arial" w:cs="Arial"/>
                <w:b/>
                <w:sz w:val="22"/>
                <w:szCs w:val="22"/>
              </w:rPr>
              <w:t>Conference theme and/or subthemes addressed</w:t>
            </w:r>
          </w:p>
          <w:p w14:paraId="0947B053" w14:textId="77777777" w:rsidR="00686DFF" w:rsidRDefault="00686DFF" w:rsidP="00686DFF">
            <w:pPr>
              <w:jc w:val="both"/>
              <w:rPr>
                <w:rFonts w:ascii="Arial" w:hAnsi="Arial" w:cs="Arial"/>
                <w:b/>
                <w:sz w:val="22"/>
                <w:szCs w:val="22"/>
              </w:rPr>
            </w:pPr>
          </w:p>
          <w:p w14:paraId="7EA3AB74" w14:textId="0DDAFF74" w:rsidR="00F407AD" w:rsidRDefault="00686DFF" w:rsidP="00686DFF">
            <w:pPr>
              <w:jc w:val="both"/>
              <w:rPr>
                <w:rFonts w:ascii="Arial" w:hAnsi="Arial" w:cs="Arial"/>
                <w:b/>
                <w:sz w:val="22"/>
                <w:szCs w:val="22"/>
              </w:rPr>
            </w:pPr>
            <w:r w:rsidRPr="00C526B7">
              <w:rPr>
                <w:rFonts w:ascii="Arial" w:hAnsi="Arial" w:cs="Arial"/>
                <w:sz w:val="22"/>
                <w:szCs w:val="21"/>
              </w:rPr>
              <w:t>Build effective, accountable and inclusive governance at all levels that promotes, peace, justice and respect of human rights</w:t>
            </w:r>
            <w:r w:rsidRPr="00C526B7" w:rsidDel="009620E3">
              <w:rPr>
                <w:rFonts w:ascii="Arial" w:hAnsi="Arial" w:cs="Arial"/>
                <w:b/>
                <w:szCs w:val="22"/>
              </w:rPr>
              <w:t xml:space="preserve"> </w:t>
            </w:r>
          </w:p>
          <w:p w14:paraId="479B3BBA" w14:textId="77777777" w:rsidR="00F407AD" w:rsidRPr="00DA7A71" w:rsidRDefault="00F407AD" w:rsidP="00BE682F">
            <w:pPr>
              <w:jc w:val="both"/>
              <w:rPr>
                <w:rFonts w:ascii="Arial" w:hAnsi="Arial" w:cs="Arial"/>
                <w:bCs/>
                <w:sz w:val="22"/>
                <w:szCs w:val="22"/>
              </w:rPr>
            </w:pPr>
          </w:p>
        </w:tc>
      </w:tr>
    </w:tbl>
    <w:p w14:paraId="39F1F4DC" w14:textId="77777777" w:rsidR="000F47B1" w:rsidRDefault="000F47B1"/>
    <w:tbl>
      <w:tblPr>
        <w:tblStyle w:val="TableGrid"/>
        <w:tblW w:w="8640" w:type="dxa"/>
        <w:tblInd w:w="108" w:type="dxa"/>
        <w:tblLayout w:type="fixed"/>
        <w:tblLook w:val="01E0" w:firstRow="1" w:lastRow="1" w:firstColumn="1" w:lastColumn="1" w:noHBand="0" w:noVBand="0"/>
      </w:tblPr>
      <w:tblGrid>
        <w:gridCol w:w="8640"/>
      </w:tblGrid>
      <w:tr w:rsidR="00F407AD" w:rsidRPr="0003525D" w14:paraId="0CC950A7" w14:textId="77777777" w:rsidTr="00BE682F">
        <w:tc>
          <w:tcPr>
            <w:tcW w:w="8640" w:type="dxa"/>
          </w:tcPr>
          <w:p w14:paraId="60C09B68" w14:textId="77777777" w:rsidR="00F407AD" w:rsidRDefault="00F407AD" w:rsidP="00BE682F">
            <w:pPr>
              <w:jc w:val="both"/>
              <w:rPr>
                <w:rFonts w:ascii="Arial" w:hAnsi="Arial" w:cs="Arial"/>
                <w:sz w:val="22"/>
                <w:szCs w:val="22"/>
              </w:rPr>
            </w:pPr>
            <w:r>
              <w:rPr>
                <w:rFonts w:ascii="Arial" w:hAnsi="Arial" w:cs="Arial"/>
                <w:b/>
                <w:sz w:val="22"/>
                <w:szCs w:val="22"/>
              </w:rPr>
              <w:t>Title of Presentation 4</w:t>
            </w:r>
            <w:r w:rsidRPr="00E36AD7">
              <w:rPr>
                <w:rFonts w:ascii="Arial" w:hAnsi="Arial" w:cs="Arial"/>
                <w:b/>
                <w:sz w:val="22"/>
                <w:szCs w:val="22"/>
              </w:rPr>
              <w:t xml:space="preserve"> </w:t>
            </w:r>
            <w:r>
              <w:rPr>
                <w:rFonts w:ascii="Arial" w:hAnsi="Arial" w:cs="Arial"/>
                <w:sz w:val="22"/>
                <w:szCs w:val="22"/>
              </w:rPr>
              <w:t>(Sentence case)</w:t>
            </w:r>
          </w:p>
          <w:p w14:paraId="0413DFBA" w14:textId="77777777" w:rsidR="00F17509" w:rsidRDefault="00F17509" w:rsidP="00BE682F">
            <w:pPr>
              <w:jc w:val="both"/>
              <w:rPr>
                <w:rFonts w:ascii="Arial" w:hAnsi="Arial" w:cs="Arial"/>
                <w:sz w:val="22"/>
                <w:szCs w:val="22"/>
              </w:rPr>
            </w:pPr>
            <w:r w:rsidRPr="00F17509">
              <w:rPr>
                <w:rFonts w:ascii="Arial" w:hAnsi="Arial" w:cs="Arial"/>
                <w:sz w:val="22"/>
                <w:szCs w:val="22"/>
              </w:rPr>
              <w:t>Evidence-based evaluation capacity building: The NSW Health experience</w:t>
            </w:r>
          </w:p>
          <w:p w14:paraId="43256610" w14:textId="4782E83A" w:rsidR="00F17509" w:rsidRPr="00242808" w:rsidRDefault="00F17509" w:rsidP="00BE682F">
            <w:pPr>
              <w:jc w:val="both"/>
              <w:rPr>
                <w:rFonts w:ascii="Arial" w:hAnsi="Arial" w:cs="Arial"/>
                <w:sz w:val="22"/>
                <w:szCs w:val="22"/>
              </w:rPr>
            </w:pPr>
          </w:p>
        </w:tc>
      </w:tr>
      <w:tr w:rsidR="00F407AD" w:rsidRPr="0003525D" w14:paraId="72C74D51" w14:textId="77777777" w:rsidTr="00F17509">
        <w:trPr>
          <w:trHeight w:val="983"/>
        </w:trPr>
        <w:tc>
          <w:tcPr>
            <w:tcW w:w="8640" w:type="dxa"/>
          </w:tcPr>
          <w:p w14:paraId="55DE3CCB" w14:textId="77777777" w:rsidR="00BC10EC" w:rsidRPr="00BC10EC" w:rsidRDefault="00BC10EC" w:rsidP="00BC10EC">
            <w:pPr>
              <w:jc w:val="both"/>
              <w:rPr>
                <w:rFonts w:ascii="Arial" w:hAnsi="Arial" w:cs="Arial"/>
                <w:b/>
                <w:iCs/>
                <w:sz w:val="22"/>
                <w:szCs w:val="22"/>
                <w:lang w:val="en-AU"/>
              </w:rPr>
            </w:pPr>
            <w:r w:rsidRPr="00BC10EC">
              <w:rPr>
                <w:rFonts w:ascii="Arial" w:hAnsi="Arial" w:cs="Arial"/>
                <w:b/>
                <w:iCs/>
                <w:sz w:val="22"/>
                <w:szCs w:val="22"/>
                <w:lang w:val="en-AU"/>
              </w:rPr>
              <w:t>General Objective</w:t>
            </w:r>
          </w:p>
          <w:p w14:paraId="2983466A" w14:textId="77777777" w:rsidR="00BC10EC" w:rsidRPr="00BC10EC" w:rsidRDefault="00BC10EC" w:rsidP="00BC10EC">
            <w:pPr>
              <w:jc w:val="both"/>
              <w:rPr>
                <w:rFonts w:ascii="Arial" w:hAnsi="Arial" w:cs="Arial"/>
                <w:bCs/>
                <w:iCs/>
                <w:sz w:val="22"/>
                <w:szCs w:val="22"/>
                <w:lang w:val="en-AU"/>
              </w:rPr>
            </w:pPr>
            <w:r w:rsidRPr="00BC10EC">
              <w:rPr>
                <w:rFonts w:ascii="Arial" w:hAnsi="Arial" w:cs="Arial"/>
                <w:bCs/>
                <w:iCs/>
                <w:sz w:val="22"/>
                <w:szCs w:val="22"/>
                <w:lang w:val="en-AU"/>
              </w:rPr>
              <w:t xml:space="preserve">This session will demonstrate NSW Health’s evidence-based approach to evaluation capacity building </w:t>
            </w:r>
            <w:r w:rsidRPr="00BC10EC">
              <w:rPr>
                <w:rFonts w:ascii="Arial" w:hAnsi="Arial" w:cs="Arial"/>
                <w:bCs/>
                <w:sz w:val="22"/>
                <w:szCs w:val="22"/>
                <w:lang w:val="en-AU"/>
              </w:rPr>
              <w:t>(ECB)</w:t>
            </w:r>
            <w:r w:rsidRPr="00BC10EC">
              <w:rPr>
                <w:rFonts w:ascii="Arial" w:hAnsi="Arial" w:cs="Arial"/>
                <w:bCs/>
                <w:iCs/>
                <w:sz w:val="22"/>
                <w:szCs w:val="22"/>
                <w:lang w:val="en-AU"/>
              </w:rPr>
              <w:t>.</w:t>
            </w:r>
          </w:p>
          <w:p w14:paraId="2C3113CC" w14:textId="77777777" w:rsidR="00BC10EC" w:rsidRPr="00BC10EC" w:rsidRDefault="00BC10EC" w:rsidP="00BC10EC">
            <w:pPr>
              <w:jc w:val="both"/>
              <w:rPr>
                <w:rFonts w:ascii="Arial" w:hAnsi="Arial" w:cs="Arial"/>
                <w:bCs/>
                <w:sz w:val="22"/>
                <w:szCs w:val="22"/>
                <w:lang w:val="en-AU"/>
              </w:rPr>
            </w:pPr>
          </w:p>
          <w:p w14:paraId="71D130EE" w14:textId="77777777" w:rsidR="00BC10EC" w:rsidRPr="00BC10EC" w:rsidRDefault="00BC10EC" w:rsidP="00BC10EC">
            <w:pPr>
              <w:jc w:val="both"/>
              <w:rPr>
                <w:rFonts w:ascii="Arial" w:hAnsi="Arial" w:cs="Arial"/>
                <w:bCs/>
                <w:sz w:val="22"/>
                <w:szCs w:val="22"/>
                <w:lang w:val="en-AU"/>
              </w:rPr>
            </w:pPr>
            <w:r w:rsidRPr="00BC10EC">
              <w:rPr>
                <w:rFonts w:ascii="Arial" w:hAnsi="Arial" w:cs="Arial"/>
                <w:bCs/>
                <w:sz w:val="22"/>
                <w:szCs w:val="22"/>
                <w:lang w:val="en-AU"/>
              </w:rPr>
              <w:t>An organisational culture that fosters the generation and use of evaluation evidence to inform practice is essential to improving health outcomes and equity. NSW Government policy requires programs be evaluated to ensure they are effective and accountable to the community. To achieve this, the policy recommends that public services support and develop evaluation capacity within their organisations. The NSW Ministry of Health’s Centre for Epidemiology and Evidence has a role in building NSW Health’s capacity to develop and use research and evaluation evidence, with the aim of improving ‘policy and program effectiveness, population health and equity in NSW’.</w:t>
            </w:r>
          </w:p>
          <w:p w14:paraId="014F00AB" w14:textId="77777777" w:rsidR="00BC10EC" w:rsidRPr="00BC10EC" w:rsidRDefault="00BC10EC" w:rsidP="00BC10EC">
            <w:pPr>
              <w:jc w:val="both"/>
              <w:rPr>
                <w:rFonts w:ascii="Arial" w:hAnsi="Arial" w:cs="Arial"/>
                <w:bCs/>
                <w:sz w:val="22"/>
                <w:szCs w:val="22"/>
                <w:lang w:val="en-AU"/>
              </w:rPr>
            </w:pPr>
          </w:p>
          <w:p w14:paraId="4ED94A4E" w14:textId="77777777" w:rsidR="00BC10EC" w:rsidRPr="00BC10EC" w:rsidRDefault="00BC10EC" w:rsidP="00BC10EC">
            <w:pPr>
              <w:jc w:val="both"/>
              <w:rPr>
                <w:rFonts w:ascii="Arial" w:hAnsi="Arial" w:cs="Arial"/>
                <w:bCs/>
                <w:sz w:val="22"/>
                <w:szCs w:val="22"/>
                <w:lang w:val="en-AU"/>
              </w:rPr>
            </w:pPr>
            <w:r w:rsidRPr="00BC10EC">
              <w:rPr>
                <w:rFonts w:ascii="Arial" w:hAnsi="Arial" w:cs="Arial"/>
                <w:bCs/>
                <w:sz w:val="22"/>
                <w:szCs w:val="22"/>
                <w:lang w:val="en-AU"/>
              </w:rPr>
              <w:t>A narrative review of ECB was completed to inform organisational practice. The evidence review identified a number of ECB success factors including having: an organisational commitment to evaluation and learning; a tailored strategy based on need; a multifaceted approach to ECB; increased communication about evaluation within the organisation; ongoing technical support within the organisation and utilising practice-based learning.</w:t>
            </w:r>
          </w:p>
          <w:p w14:paraId="0104764C" w14:textId="77777777" w:rsidR="00BC10EC" w:rsidRPr="00BC10EC" w:rsidRDefault="00BC10EC" w:rsidP="00BC10EC">
            <w:pPr>
              <w:jc w:val="both"/>
              <w:rPr>
                <w:rFonts w:ascii="Arial" w:hAnsi="Arial" w:cs="Arial"/>
                <w:bCs/>
                <w:sz w:val="22"/>
                <w:szCs w:val="22"/>
                <w:lang w:val="en-AU"/>
              </w:rPr>
            </w:pPr>
          </w:p>
          <w:p w14:paraId="233AE607" w14:textId="77777777" w:rsidR="00BC10EC" w:rsidRPr="00BC10EC" w:rsidRDefault="00BC10EC" w:rsidP="00BC10EC">
            <w:pPr>
              <w:jc w:val="both"/>
              <w:rPr>
                <w:rFonts w:ascii="Arial" w:hAnsi="Arial" w:cs="Arial"/>
                <w:bCs/>
                <w:sz w:val="22"/>
                <w:szCs w:val="22"/>
                <w:lang w:val="en-AU"/>
              </w:rPr>
            </w:pPr>
            <w:r w:rsidRPr="00BC10EC">
              <w:rPr>
                <w:rFonts w:ascii="Arial" w:hAnsi="Arial" w:cs="Arial"/>
                <w:bCs/>
                <w:sz w:val="22"/>
                <w:szCs w:val="22"/>
                <w:lang w:val="en-AU"/>
              </w:rPr>
              <w:t>These factors manifest within NSW Health in:</w:t>
            </w:r>
          </w:p>
          <w:p w14:paraId="259758A9" w14:textId="77777777" w:rsidR="00BC10EC" w:rsidRPr="00BC10EC" w:rsidRDefault="00BC10EC" w:rsidP="00BC10EC">
            <w:pPr>
              <w:numPr>
                <w:ilvl w:val="0"/>
                <w:numId w:val="2"/>
              </w:numPr>
              <w:jc w:val="both"/>
              <w:rPr>
                <w:rFonts w:ascii="Arial" w:hAnsi="Arial" w:cs="Arial"/>
                <w:bCs/>
                <w:sz w:val="22"/>
                <w:szCs w:val="22"/>
                <w:lang w:val="en-AU"/>
              </w:rPr>
            </w:pPr>
            <w:r w:rsidRPr="00BC10EC">
              <w:rPr>
                <w:rFonts w:ascii="Arial" w:hAnsi="Arial" w:cs="Arial"/>
                <w:bCs/>
                <w:sz w:val="22"/>
                <w:szCs w:val="22"/>
                <w:lang w:val="en-AU"/>
              </w:rPr>
              <w:t>Supportive leadership and policies</w:t>
            </w:r>
          </w:p>
          <w:p w14:paraId="3A3120A0" w14:textId="77777777" w:rsidR="00BC10EC" w:rsidRPr="00BC10EC" w:rsidRDefault="00BC10EC" w:rsidP="00BC10EC">
            <w:pPr>
              <w:numPr>
                <w:ilvl w:val="0"/>
                <w:numId w:val="2"/>
              </w:numPr>
              <w:jc w:val="both"/>
              <w:rPr>
                <w:rFonts w:ascii="Arial" w:hAnsi="Arial" w:cs="Arial"/>
                <w:bCs/>
                <w:sz w:val="22"/>
                <w:szCs w:val="22"/>
                <w:lang w:val="en-AU"/>
              </w:rPr>
            </w:pPr>
            <w:r w:rsidRPr="00BC10EC">
              <w:rPr>
                <w:rFonts w:ascii="Arial" w:hAnsi="Arial" w:cs="Arial"/>
                <w:bCs/>
                <w:sz w:val="22"/>
                <w:szCs w:val="22"/>
                <w:lang w:val="en-AU"/>
              </w:rPr>
              <w:t xml:space="preserve">The </w:t>
            </w:r>
            <w:r w:rsidRPr="00BC10EC">
              <w:rPr>
                <w:rFonts w:ascii="Arial" w:hAnsi="Arial" w:cs="Arial"/>
                <w:bCs/>
                <w:i/>
                <w:sz w:val="22"/>
                <w:szCs w:val="22"/>
                <w:lang w:val="en-AU"/>
              </w:rPr>
              <w:t>NSW Population Health Research Strategy 2018-2022</w:t>
            </w:r>
            <w:r w:rsidRPr="00BC10EC">
              <w:rPr>
                <w:rFonts w:ascii="Arial" w:hAnsi="Arial" w:cs="Arial"/>
                <w:bCs/>
                <w:sz w:val="22"/>
                <w:szCs w:val="22"/>
                <w:lang w:val="en-AU"/>
              </w:rPr>
              <w:t xml:space="preserve">, which includes ECB for Aboriginal health </w:t>
            </w:r>
          </w:p>
          <w:p w14:paraId="09BD786D" w14:textId="77777777" w:rsidR="00BC10EC" w:rsidRPr="00BC10EC" w:rsidRDefault="00BC10EC" w:rsidP="00BC10EC">
            <w:pPr>
              <w:numPr>
                <w:ilvl w:val="0"/>
                <w:numId w:val="2"/>
              </w:numPr>
              <w:jc w:val="both"/>
              <w:rPr>
                <w:rFonts w:ascii="Arial" w:hAnsi="Arial" w:cs="Arial"/>
                <w:bCs/>
                <w:sz w:val="22"/>
                <w:szCs w:val="22"/>
                <w:lang w:val="en-AU"/>
              </w:rPr>
            </w:pPr>
            <w:r w:rsidRPr="00BC10EC">
              <w:rPr>
                <w:rFonts w:ascii="Arial" w:hAnsi="Arial" w:cs="Arial"/>
                <w:bCs/>
                <w:sz w:val="22"/>
                <w:szCs w:val="22"/>
                <w:lang w:val="en-AU"/>
              </w:rPr>
              <w:t>Research and evaluation communities of practice across NSW Health</w:t>
            </w:r>
          </w:p>
          <w:p w14:paraId="44C1A4BF" w14:textId="77777777" w:rsidR="00BC10EC" w:rsidRPr="00BC10EC" w:rsidRDefault="00BC10EC" w:rsidP="00BC10EC">
            <w:pPr>
              <w:numPr>
                <w:ilvl w:val="0"/>
                <w:numId w:val="2"/>
              </w:numPr>
              <w:jc w:val="both"/>
              <w:rPr>
                <w:rFonts w:ascii="Arial" w:hAnsi="Arial" w:cs="Arial"/>
                <w:bCs/>
                <w:sz w:val="22"/>
                <w:szCs w:val="22"/>
                <w:lang w:val="en-AU"/>
              </w:rPr>
            </w:pPr>
            <w:r w:rsidRPr="00BC10EC">
              <w:rPr>
                <w:rFonts w:ascii="Arial" w:hAnsi="Arial" w:cs="Arial"/>
                <w:bCs/>
                <w:sz w:val="22"/>
                <w:szCs w:val="22"/>
                <w:lang w:val="en-AU"/>
              </w:rPr>
              <w:t>Practice guides to assist policy makers to commission, undertake and use policy-relevant research and evaluation (over 1,700 downloads)</w:t>
            </w:r>
          </w:p>
          <w:p w14:paraId="53DA013D" w14:textId="77777777" w:rsidR="00BC10EC" w:rsidRPr="00BC10EC" w:rsidRDefault="00BC10EC" w:rsidP="00BC10EC">
            <w:pPr>
              <w:numPr>
                <w:ilvl w:val="0"/>
                <w:numId w:val="2"/>
              </w:numPr>
              <w:jc w:val="both"/>
              <w:rPr>
                <w:rFonts w:ascii="Arial" w:hAnsi="Arial" w:cs="Arial"/>
                <w:bCs/>
                <w:sz w:val="22"/>
                <w:szCs w:val="22"/>
                <w:lang w:val="en-AU"/>
              </w:rPr>
            </w:pPr>
            <w:r w:rsidRPr="00BC10EC">
              <w:rPr>
                <w:rFonts w:ascii="Arial" w:hAnsi="Arial" w:cs="Arial"/>
                <w:bCs/>
                <w:sz w:val="22"/>
                <w:szCs w:val="22"/>
                <w:lang w:val="en-AU"/>
              </w:rPr>
              <w:t>The involvement of stakeholders throughout evaluation processes</w:t>
            </w:r>
          </w:p>
          <w:p w14:paraId="6D6E506F" w14:textId="77777777" w:rsidR="00BC10EC" w:rsidRPr="00BC10EC" w:rsidRDefault="00BC10EC" w:rsidP="00BC10EC">
            <w:pPr>
              <w:numPr>
                <w:ilvl w:val="0"/>
                <w:numId w:val="2"/>
              </w:numPr>
              <w:jc w:val="both"/>
              <w:rPr>
                <w:rFonts w:ascii="Arial" w:hAnsi="Arial" w:cs="Arial"/>
                <w:bCs/>
                <w:sz w:val="22"/>
                <w:szCs w:val="22"/>
                <w:lang w:val="en-AU"/>
              </w:rPr>
            </w:pPr>
            <w:r w:rsidRPr="00BC10EC">
              <w:rPr>
                <w:rFonts w:ascii="Arial" w:hAnsi="Arial" w:cs="Arial"/>
                <w:bCs/>
                <w:sz w:val="22"/>
                <w:szCs w:val="22"/>
                <w:lang w:val="en-AU"/>
              </w:rPr>
              <w:t>Graded evaluation workshops, plus workshops on critical appraisal, evidence reviews and economic evaluation (over 300 workshop attendees in 2017)</w:t>
            </w:r>
          </w:p>
          <w:p w14:paraId="3C1092E8" w14:textId="77777777" w:rsidR="00BC10EC" w:rsidRPr="00BC10EC" w:rsidRDefault="00BC10EC" w:rsidP="00BC10EC">
            <w:pPr>
              <w:numPr>
                <w:ilvl w:val="0"/>
                <w:numId w:val="2"/>
              </w:numPr>
              <w:jc w:val="both"/>
              <w:rPr>
                <w:rFonts w:ascii="Arial" w:hAnsi="Arial" w:cs="Arial"/>
                <w:bCs/>
                <w:sz w:val="22"/>
                <w:szCs w:val="22"/>
                <w:lang w:val="en-AU"/>
              </w:rPr>
            </w:pPr>
            <w:r w:rsidRPr="00BC10EC">
              <w:rPr>
                <w:rFonts w:ascii="Arial" w:hAnsi="Arial" w:cs="Arial"/>
                <w:bCs/>
                <w:sz w:val="22"/>
                <w:szCs w:val="22"/>
                <w:lang w:val="en-AU"/>
              </w:rPr>
              <w:t>Online training programs including an animated video</w:t>
            </w:r>
          </w:p>
          <w:p w14:paraId="62E0AD5D" w14:textId="77777777" w:rsidR="00BC10EC" w:rsidRPr="00BC10EC" w:rsidRDefault="00BC10EC" w:rsidP="00BC10EC">
            <w:pPr>
              <w:numPr>
                <w:ilvl w:val="0"/>
                <w:numId w:val="2"/>
              </w:numPr>
              <w:jc w:val="both"/>
              <w:rPr>
                <w:rFonts w:ascii="Arial" w:hAnsi="Arial" w:cs="Arial"/>
                <w:bCs/>
                <w:sz w:val="22"/>
                <w:szCs w:val="22"/>
                <w:lang w:val="en-AU"/>
              </w:rPr>
            </w:pPr>
            <w:r w:rsidRPr="00BC10EC">
              <w:rPr>
                <w:rFonts w:ascii="Arial" w:hAnsi="Arial" w:cs="Arial"/>
                <w:bCs/>
                <w:sz w:val="22"/>
                <w:szCs w:val="22"/>
                <w:lang w:val="en-AU"/>
              </w:rPr>
              <w:t>Technical support.</w:t>
            </w:r>
          </w:p>
          <w:p w14:paraId="6067B5E1" w14:textId="77777777" w:rsidR="00BC10EC" w:rsidRPr="00BC10EC" w:rsidRDefault="00BC10EC" w:rsidP="00BC10EC">
            <w:pPr>
              <w:jc w:val="both"/>
              <w:rPr>
                <w:rFonts w:ascii="Arial" w:hAnsi="Arial" w:cs="Arial"/>
                <w:bCs/>
                <w:sz w:val="22"/>
                <w:szCs w:val="22"/>
                <w:lang w:val="en-AU"/>
              </w:rPr>
            </w:pPr>
          </w:p>
          <w:p w14:paraId="05B96490" w14:textId="77777777" w:rsidR="00BC10EC" w:rsidRPr="00BC10EC" w:rsidRDefault="00BC10EC" w:rsidP="00BC10EC">
            <w:pPr>
              <w:jc w:val="both"/>
              <w:rPr>
                <w:rFonts w:ascii="Arial" w:hAnsi="Arial" w:cs="Arial"/>
                <w:bCs/>
                <w:sz w:val="22"/>
                <w:szCs w:val="22"/>
                <w:lang w:val="en-AU"/>
              </w:rPr>
            </w:pPr>
            <w:r w:rsidRPr="00BC10EC">
              <w:rPr>
                <w:rFonts w:ascii="Arial" w:hAnsi="Arial" w:cs="Arial"/>
                <w:bCs/>
                <w:sz w:val="22"/>
                <w:szCs w:val="22"/>
                <w:lang w:val="en-AU"/>
              </w:rPr>
              <w:t>Impacts can be evidenced by:</w:t>
            </w:r>
          </w:p>
          <w:p w14:paraId="3453AA66" w14:textId="77777777" w:rsidR="00BC10EC" w:rsidRPr="00BC10EC" w:rsidRDefault="00BC10EC" w:rsidP="00BC10EC">
            <w:pPr>
              <w:numPr>
                <w:ilvl w:val="0"/>
                <w:numId w:val="3"/>
              </w:numPr>
              <w:jc w:val="both"/>
              <w:rPr>
                <w:rFonts w:ascii="Arial" w:hAnsi="Arial" w:cs="Arial"/>
                <w:bCs/>
                <w:sz w:val="22"/>
                <w:szCs w:val="22"/>
                <w:lang w:val="en-AU"/>
              </w:rPr>
            </w:pPr>
            <w:r w:rsidRPr="00BC10EC">
              <w:rPr>
                <w:rFonts w:ascii="Arial" w:hAnsi="Arial" w:cs="Arial"/>
                <w:bCs/>
                <w:sz w:val="22"/>
                <w:szCs w:val="22"/>
                <w:lang w:val="en-AU"/>
              </w:rPr>
              <w:t>Technical support provided to over 40 program evaluations during 2017 (an increase from 22 in 2015)</w:t>
            </w:r>
          </w:p>
          <w:p w14:paraId="08BCECD7" w14:textId="77777777" w:rsidR="00BC10EC" w:rsidRPr="00BC10EC" w:rsidRDefault="00BC10EC" w:rsidP="00BC10EC">
            <w:pPr>
              <w:numPr>
                <w:ilvl w:val="0"/>
                <w:numId w:val="3"/>
              </w:numPr>
              <w:jc w:val="both"/>
              <w:rPr>
                <w:rFonts w:ascii="Arial" w:hAnsi="Arial" w:cs="Arial"/>
                <w:bCs/>
                <w:sz w:val="22"/>
                <w:szCs w:val="22"/>
                <w:lang w:val="en-AU"/>
              </w:rPr>
            </w:pPr>
            <w:r w:rsidRPr="00BC10EC">
              <w:rPr>
                <w:rFonts w:ascii="Arial" w:hAnsi="Arial" w:cs="Arial"/>
                <w:bCs/>
                <w:sz w:val="22"/>
                <w:szCs w:val="22"/>
                <w:lang w:val="en-AU"/>
              </w:rPr>
              <w:t>NSW Health funding a diversity portfolio of research and evaluation assets, funding schemes, centres and commissioned projects</w:t>
            </w:r>
          </w:p>
          <w:p w14:paraId="52D6A927" w14:textId="77777777" w:rsidR="00BC10EC" w:rsidRPr="00BC10EC" w:rsidRDefault="00BC10EC" w:rsidP="00BC10EC">
            <w:pPr>
              <w:numPr>
                <w:ilvl w:val="0"/>
                <w:numId w:val="3"/>
              </w:numPr>
              <w:jc w:val="both"/>
              <w:rPr>
                <w:rFonts w:ascii="Arial" w:hAnsi="Arial" w:cs="Arial"/>
                <w:bCs/>
                <w:sz w:val="22"/>
                <w:szCs w:val="22"/>
                <w:lang w:val="en-AU"/>
              </w:rPr>
            </w:pPr>
            <w:r w:rsidRPr="00BC10EC">
              <w:rPr>
                <w:rFonts w:ascii="Arial" w:hAnsi="Arial" w:cs="Arial"/>
                <w:bCs/>
                <w:sz w:val="22"/>
                <w:szCs w:val="22"/>
                <w:lang w:val="en-AU"/>
              </w:rPr>
              <w:t>Increases in population and public health staff publications.</w:t>
            </w:r>
          </w:p>
          <w:p w14:paraId="10242E17" w14:textId="77777777" w:rsidR="00BC10EC" w:rsidRPr="00BC10EC" w:rsidRDefault="00BC10EC" w:rsidP="00BC10EC">
            <w:pPr>
              <w:jc w:val="both"/>
              <w:rPr>
                <w:rFonts w:ascii="Arial" w:hAnsi="Arial" w:cs="Arial"/>
                <w:bCs/>
                <w:sz w:val="22"/>
                <w:szCs w:val="22"/>
                <w:lang w:val="en-AU"/>
              </w:rPr>
            </w:pPr>
          </w:p>
          <w:p w14:paraId="5708D191" w14:textId="77777777" w:rsidR="00BC10EC" w:rsidRPr="00BC10EC" w:rsidRDefault="00BC10EC" w:rsidP="00BC10EC">
            <w:pPr>
              <w:jc w:val="both"/>
              <w:rPr>
                <w:rFonts w:ascii="Arial" w:hAnsi="Arial" w:cs="Arial"/>
                <w:b/>
                <w:iCs/>
                <w:sz w:val="22"/>
                <w:szCs w:val="22"/>
                <w:lang w:val="en-AU"/>
              </w:rPr>
            </w:pPr>
            <w:r w:rsidRPr="00BC10EC">
              <w:rPr>
                <w:rFonts w:ascii="Arial" w:hAnsi="Arial" w:cs="Arial"/>
                <w:b/>
                <w:iCs/>
                <w:sz w:val="22"/>
                <w:szCs w:val="22"/>
                <w:lang w:val="en-AU"/>
              </w:rPr>
              <w:t>Proposed format of the session</w:t>
            </w:r>
            <w:bookmarkStart w:id="0" w:name="_GoBack"/>
            <w:bookmarkEnd w:id="0"/>
          </w:p>
          <w:p w14:paraId="5F51BD17" w14:textId="77777777" w:rsidR="00BC10EC" w:rsidRPr="00BC10EC" w:rsidRDefault="00BC10EC" w:rsidP="00BC10EC">
            <w:pPr>
              <w:jc w:val="both"/>
              <w:rPr>
                <w:rFonts w:ascii="Arial" w:hAnsi="Arial" w:cs="Arial"/>
                <w:bCs/>
                <w:iCs/>
                <w:sz w:val="22"/>
                <w:szCs w:val="22"/>
                <w:lang w:val="en-AU"/>
              </w:rPr>
            </w:pPr>
            <w:r w:rsidRPr="00BC10EC">
              <w:rPr>
                <w:rFonts w:ascii="Arial" w:hAnsi="Arial" w:cs="Arial"/>
                <w:bCs/>
                <w:iCs/>
                <w:sz w:val="22"/>
                <w:szCs w:val="22"/>
                <w:lang w:val="en-AU"/>
              </w:rPr>
              <w:t xml:space="preserve">10 minute presentation </w:t>
            </w:r>
            <w:r w:rsidRPr="00BC10EC">
              <w:rPr>
                <w:rFonts w:ascii="Arial" w:hAnsi="Arial" w:cs="Arial"/>
                <w:bCs/>
                <w:sz w:val="22"/>
                <w:szCs w:val="22"/>
                <w:lang w:val="en-AU"/>
              </w:rPr>
              <w:t>and participation in panel discussion</w:t>
            </w:r>
          </w:p>
          <w:p w14:paraId="5DD002FB" w14:textId="77777777" w:rsidR="00BC10EC" w:rsidRPr="00BC10EC" w:rsidRDefault="00BC10EC" w:rsidP="00BC10EC">
            <w:pPr>
              <w:jc w:val="both"/>
              <w:rPr>
                <w:rFonts w:ascii="Arial" w:hAnsi="Arial" w:cs="Arial"/>
                <w:bCs/>
                <w:iCs/>
                <w:sz w:val="22"/>
                <w:szCs w:val="22"/>
                <w:lang w:val="en-AU"/>
              </w:rPr>
            </w:pPr>
          </w:p>
          <w:p w14:paraId="100F390B" w14:textId="77777777" w:rsidR="00BC10EC" w:rsidRPr="00BC10EC" w:rsidRDefault="00BC10EC" w:rsidP="00BC10EC">
            <w:pPr>
              <w:jc w:val="both"/>
              <w:rPr>
                <w:rFonts w:ascii="Arial" w:hAnsi="Arial" w:cs="Arial"/>
                <w:b/>
                <w:iCs/>
                <w:sz w:val="22"/>
                <w:szCs w:val="22"/>
                <w:lang w:val="en-AU"/>
              </w:rPr>
            </w:pPr>
            <w:r w:rsidRPr="00BC10EC">
              <w:rPr>
                <w:rFonts w:ascii="Arial" w:hAnsi="Arial" w:cs="Arial"/>
                <w:b/>
                <w:iCs/>
                <w:sz w:val="22"/>
                <w:szCs w:val="22"/>
                <w:lang w:val="en-AU"/>
              </w:rPr>
              <w:t>Conference theme and/or subthemes addressed</w:t>
            </w:r>
          </w:p>
          <w:p w14:paraId="026188BC" w14:textId="7A9C7493" w:rsidR="00F17509" w:rsidRPr="00DA7A71" w:rsidRDefault="00BC10EC" w:rsidP="00BC10EC">
            <w:pPr>
              <w:jc w:val="both"/>
              <w:rPr>
                <w:rFonts w:ascii="Arial" w:hAnsi="Arial" w:cs="Arial"/>
                <w:bCs/>
                <w:sz w:val="22"/>
                <w:szCs w:val="22"/>
              </w:rPr>
            </w:pPr>
            <w:r w:rsidRPr="00BC10EC">
              <w:rPr>
                <w:rFonts w:ascii="Arial" w:hAnsi="Arial" w:cs="Arial"/>
                <w:bCs/>
                <w:iCs/>
                <w:sz w:val="22"/>
                <w:szCs w:val="22"/>
                <w:lang w:val="en-AU"/>
              </w:rPr>
              <w:t>Build effective, accountable and inclusive governance at all levels that promotes, peace, justice and respect of human rights</w:t>
            </w:r>
          </w:p>
        </w:tc>
      </w:tr>
    </w:tbl>
    <w:p w14:paraId="2C8937FD" w14:textId="6A736C93" w:rsidR="00F407AD" w:rsidRDefault="00F407AD"/>
    <w:sectPr w:rsidR="00F407AD">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BD7485"/>
    <w:multiLevelType w:val="hybridMultilevel"/>
    <w:tmpl w:val="B32AF4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E4E255E"/>
    <w:multiLevelType w:val="hybridMultilevel"/>
    <w:tmpl w:val="8E68A5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06E1F9C"/>
    <w:multiLevelType w:val="hybridMultilevel"/>
    <w:tmpl w:val="9454D0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99A616F"/>
    <w:multiLevelType w:val="hybridMultilevel"/>
    <w:tmpl w:val="1EF036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BFF"/>
    <w:rsid w:val="00026E39"/>
    <w:rsid w:val="0003525D"/>
    <w:rsid w:val="00077988"/>
    <w:rsid w:val="0008349E"/>
    <w:rsid w:val="000C05CE"/>
    <w:rsid w:val="000C189E"/>
    <w:rsid w:val="000F47B1"/>
    <w:rsid w:val="00120724"/>
    <w:rsid w:val="00131D1E"/>
    <w:rsid w:val="001C3A37"/>
    <w:rsid w:val="00211765"/>
    <w:rsid w:val="00230B21"/>
    <w:rsid w:val="00242808"/>
    <w:rsid w:val="00294265"/>
    <w:rsid w:val="002B7FC8"/>
    <w:rsid w:val="002F34DB"/>
    <w:rsid w:val="00317FFE"/>
    <w:rsid w:val="00363AF7"/>
    <w:rsid w:val="003A6236"/>
    <w:rsid w:val="003B15A7"/>
    <w:rsid w:val="003F596D"/>
    <w:rsid w:val="00490208"/>
    <w:rsid w:val="004B5B95"/>
    <w:rsid w:val="004C45A1"/>
    <w:rsid w:val="004E345D"/>
    <w:rsid w:val="00557B7E"/>
    <w:rsid w:val="00564331"/>
    <w:rsid w:val="00590824"/>
    <w:rsid w:val="00591DD5"/>
    <w:rsid w:val="005E62A6"/>
    <w:rsid w:val="005F7DC7"/>
    <w:rsid w:val="00622BCD"/>
    <w:rsid w:val="006605DB"/>
    <w:rsid w:val="00663BFF"/>
    <w:rsid w:val="00686DFF"/>
    <w:rsid w:val="006B36B9"/>
    <w:rsid w:val="006C6E32"/>
    <w:rsid w:val="0070252B"/>
    <w:rsid w:val="00714C46"/>
    <w:rsid w:val="007A2A9C"/>
    <w:rsid w:val="00800163"/>
    <w:rsid w:val="0082392D"/>
    <w:rsid w:val="008874BF"/>
    <w:rsid w:val="008C05AC"/>
    <w:rsid w:val="00932377"/>
    <w:rsid w:val="009B7881"/>
    <w:rsid w:val="00A112C8"/>
    <w:rsid w:val="00A1780F"/>
    <w:rsid w:val="00A52941"/>
    <w:rsid w:val="00AA1598"/>
    <w:rsid w:val="00AA5B46"/>
    <w:rsid w:val="00AB42C9"/>
    <w:rsid w:val="00B12CD1"/>
    <w:rsid w:val="00B20967"/>
    <w:rsid w:val="00B5504C"/>
    <w:rsid w:val="00B66A82"/>
    <w:rsid w:val="00B766BF"/>
    <w:rsid w:val="00BC10EC"/>
    <w:rsid w:val="00BC5CBE"/>
    <w:rsid w:val="00C211D2"/>
    <w:rsid w:val="00C84789"/>
    <w:rsid w:val="00CA0DE6"/>
    <w:rsid w:val="00CB2597"/>
    <w:rsid w:val="00CC5CF2"/>
    <w:rsid w:val="00CD0335"/>
    <w:rsid w:val="00CE496D"/>
    <w:rsid w:val="00CE5D57"/>
    <w:rsid w:val="00D04AF7"/>
    <w:rsid w:val="00D71EFE"/>
    <w:rsid w:val="00DA45EE"/>
    <w:rsid w:val="00DA7A71"/>
    <w:rsid w:val="00DB42D9"/>
    <w:rsid w:val="00DC2C64"/>
    <w:rsid w:val="00DE6D44"/>
    <w:rsid w:val="00E0479B"/>
    <w:rsid w:val="00E36AD7"/>
    <w:rsid w:val="00E379B4"/>
    <w:rsid w:val="00E458B1"/>
    <w:rsid w:val="00F16B61"/>
    <w:rsid w:val="00F17509"/>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4F6132EB-EC6B-46FF-A571-E8511E366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941"/>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paragraph" w:styleId="ListParagraph">
    <w:name w:val="List Paragraph"/>
    <w:basedOn w:val="Normal"/>
    <w:uiPriority w:val="34"/>
    <w:qFormat/>
    <w:rsid w:val="00A52941"/>
    <w:pPr>
      <w:ind w:left="720"/>
      <w:contextualSpacing/>
    </w:pPr>
  </w:style>
  <w:style w:type="paragraph" w:styleId="BalloonText">
    <w:name w:val="Balloon Text"/>
    <w:basedOn w:val="Normal"/>
    <w:link w:val="BalloonTextChar"/>
    <w:rsid w:val="00557B7E"/>
    <w:rPr>
      <w:rFonts w:ascii="Tahoma" w:hAnsi="Tahoma" w:cs="Tahoma"/>
      <w:sz w:val="16"/>
      <w:szCs w:val="16"/>
    </w:rPr>
  </w:style>
  <w:style w:type="character" w:customStyle="1" w:styleId="BalloonTextChar">
    <w:name w:val="Balloon Text Char"/>
    <w:basedOn w:val="DefaultParagraphFont"/>
    <w:link w:val="BalloonText"/>
    <w:rsid w:val="00557B7E"/>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8" ma:contentTypeDescription="Create a new document." ma:contentTypeScope="" ma:versionID="efe19204e6b5c119b62b88d6d91d1f42">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397a7d01447ff7f61bcfcbd82a446996"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E73DA3-73E0-43F4-9980-89255A6268B5}">
  <ds:schemaRefs>
    <ds:schemaRef ds:uri="http://schemas.microsoft.com/office/2006/metadata/properties"/>
    <ds:schemaRef ds:uri="http://schemas.microsoft.com/office/2006/documentManagement/types"/>
    <ds:schemaRef ds:uri="http://purl.org/dc/dcmitype/"/>
    <ds:schemaRef ds:uri="http://purl.org/dc/terms/"/>
    <ds:schemaRef ds:uri="6911e96c-4cc4-42d5-8e43-f93924cf6a05"/>
    <ds:schemaRef ds:uri="http://schemas.microsoft.com/office/infopath/2007/PartnerControls"/>
    <ds:schemaRef ds:uri="http://www.w3.org/XML/1998/namespace"/>
    <ds:schemaRef ds:uri="http://schemas.openxmlformats.org/package/2006/metadata/core-properties"/>
    <ds:schemaRef ds:uri="9c8a2b7b-0bee-4c48-b0a6-23db8982d3bc"/>
    <ds:schemaRef ds:uri="http://purl.org/dc/elements/1.1/"/>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F9CBA305-D6DE-402C-9727-2D94310D6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4E726A-F094-4806-A482-34E2964E9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1776</Words>
  <Characters>11207</Characters>
  <Application>Microsoft Office Word</Application>
  <DocSecurity>0</DocSecurity>
  <Lines>248</Lines>
  <Paragraphs>78</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12944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Joanna Schwarzman</cp:lastModifiedBy>
  <cp:revision>4</cp:revision>
  <dcterms:created xsi:type="dcterms:W3CDTF">2018-09-13T01:27:00Z</dcterms:created>
  <dcterms:modified xsi:type="dcterms:W3CDTF">2018-09-13T01:33:00Z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