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5D21" w14:textId="6DDAA6A6" w:rsidR="00E80C47" w:rsidRDefault="163FA60D" w:rsidP="00832D89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2F2D3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Title:</w:t>
      </w:r>
      <w:r w:rsidR="00832D8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 xml:space="preserve"> </w:t>
      </w:r>
      <w:r w:rsidRPr="002F2D3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Intensive Diabetes Education Targeting Escalation of Chronic Kidney Disease (IDETECKD): Transforming Diabetes-Kidney Care</w:t>
      </w:r>
    </w:p>
    <w:p w14:paraId="5F06C7F9" w14:textId="77777777" w:rsidR="00C57132" w:rsidRDefault="00C57132" w:rsidP="00832D89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</w:pPr>
    </w:p>
    <w:p w14:paraId="77984FAF" w14:textId="76E58AB2" w:rsidR="00E80C47" w:rsidRPr="002F2D39" w:rsidRDefault="002F2D39" w:rsidP="00832D89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Background</w:t>
      </w:r>
      <w:r w:rsidR="163FA60D" w:rsidRPr="002F2D3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 xml:space="preserve">: </w:t>
      </w:r>
    </w:p>
    <w:p w14:paraId="61578AEF" w14:textId="334F3FFF" w:rsidR="002F2D39" w:rsidRDefault="00C853C8" w:rsidP="00832D8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T2DM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is the most common cause of </w:t>
      </w: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CKD and h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ealthcare costs associated with stage 3-5 CKD are 57% higher than diabetes alone. </w:t>
      </w: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T2DM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rates within Logan Hospital catchment areas exceed national averages necessitating innovative models </w:t>
      </w:r>
      <w:r w:rsidR="40318B26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of care for management of CKD and T2DM </w:t>
      </w:r>
      <w:r w:rsidR="15AF362D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and </w:t>
      </w:r>
      <w:r w:rsidR="1C7EC2DB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optimization of </w:t>
      </w:r>
      <w:r w:rsidR="20978AC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specialist outpatient </w:t>
      </w:r>
      <w:r w:rsidR="1C7EC2DB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waitlists.</w:t>
      </w:r>
    </w:p>
    <w:p w14:paraId="4B235445" w14:textId="77777777" w:rsidR="00B76709" w:rsidRDefault="00B76709" w:rsidP="00B76709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</w:pPr>
    </w:p>
    <w:p w14:paraId="7B6D53A2" w14:textId="50CC5D47" w:rsidR="00B76709" w:rsidRPr="002F2D39" w:rsidRDefault="00B76709" w:rsidP="00B76709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</w:pPr>
      <w:r w:rsidRPr="002F2D3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 xml:space="preserve">Aim: </w:t>
      </w:r>
    </w:p>
    <w:p w14:paraId="2C2E6597" w14:textId="77777777" w:rsidR="00B76709" w:rsidRDefault="00B76709" w:rsidP="00B76709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A18DB">
        <w:rPr>
          <w:rFonts w:ascii="Arial" w:eastAsia="Arial" w:hAnsi="Arial" w:cs="Arial"/>
          <w:color w:val="000000" w:themeColor="text1"/>
          <w:sz w:val="22"/>
          <w:szCs w:val="22"/>
        </w:rPr>
        <w:t xml:space="preserve">To assess the healthcare needs and preferences of individuals with Type 2 Diabetes Mellitus (T2DM) and </w:t>
      </w:r>
      <w:proofErr w:type="gramStart"/>
      <w:r w:rsidRPr="00BA18DB">
        <w:rPr>
          <w:rFonts w:ascii="Arial" w:eastAsia="Arial" w:hAnsi="Arial" w:cs="Arial"/>
          <w:color w:val="000000" w:themeColor="text1"/>
          <w:sz w:val="22"/>
          <w:szCs w:val="22"/>
        </w:rPr>
        <w:t>Chronic Kidney Disease</w:t>
      </w:r>
      <w:proofErr w:type="gramEnd"/>
      <w:r w:rsidRPr="00BA18DB">
        <w:rPr>
          <w:rFonts w:ascii="Arial" w:eastAsia="Arial" w:hAnsi="Arial" w:cs="Arial"/>
          <w:color w:val="000000" w:themeColor="text1"/>
          <w:sz w:val="22"/>
          <w:szCs w:val="22"/>
        </w:rPr>
        <w:t xml:space="preserve"> (CKD) to collaboratively design, implement, and evaluate an innovative multidisciplinary care pathway involving Dietitian Diabetes Educators (DDEs) and Nurse Practitioners (NPs).</w:t>
      </w:r>
    </w:p>
    <w:p w14:paraId="291DE881" w14:textId="77777777" w:rsidR="00B76709" w:rsidRDefault="00B76709" w:rsidP="00832D8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7A12E243" w14:textId="624CDBA7" w:rsidR="2CE03350" w:rsidRDefault="2CE03350" w:rsidP="2CE0335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5D8E708B" w14:textId="530C0282" w:rsidR="00E80C47" w:rsidRPr="002F2D39" w:rsidRDefault="002F2D39" w:rsidP="2CE0335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2CE03350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Methods: </w:t>
      </w:r>
    </w:p>
    <w:p w14:paraId="7260EA32" w14:textId="4F909951" w:rsidR="00E80C47" w:rsidRPr="002F2D39" w:rsidRDefault="00084660" w:rsidP="00832D8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A</w:t>
      </w:r>
      <w:r w:rsidR="00A47F9F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structured </w:t>
      </w:r>
      <w:r w:rsidR="00BB5B6C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three phased</w:t>
      </w:r>
      <w:r w:rsidR="00A47F9F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approach to</w:t>
      </w:r>
      <w:r w:rsidR="006F0B2E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needs assessment,</w:t>
      </w:r>
      <w:r w:rsidR="00A47F9F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co-design and evalua</w:t>
      </w:r>
      <w:r w:rsidR="1F57AAB2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tion of</w:t>
      </w:r>
      <w:r w:rsidR="00A47F9F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consumer-focused service model</w:t>
      </w:r>
      <w:r w:rsidR="1DFC87CC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was applied. 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Eligible adults living with T2DM and CKD, or carers, were recruited from Logan Hospital endocrinology and nephrology outpatient </w:t>
      </w:r>
      <w:r w:rsidR="0053685D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services between March 2024 to May 2025</w:t>
      </w:r>
      <w:r w:rsidR="00C558F9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, e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ngag</w:t>
      </w:r>
      <w:r w:rsidR="00C558F9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ing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in</w:t>
      </w:r>
      <w:r w:rsidR="68C65CF6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B5B6C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f</w:t>
      </w:r>
      <w:r w:rsidR="00106829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ocus group</w:t>
      </w:r>
      <w:r w:rsidR="00B20F9F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00C558F9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,</w:t>
      </w:r>
      <w:r w:rsidR="00BB5B6C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="00BB5B6C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interviews</w:t>
      </w:r>
      <w:proofErr w:type="gramEnd"/>
      <w:r w:rsidR="00C558F9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or surveys</w:t>
      </w:r>
      <w:r w:rsidR="00792956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41951003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Results were transcribed and analyzed according to the Framework Method for thematic analysis.</w:t>
      </w:r>
      <w:r w:rsidR="288BCD31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</w:t>
      </w:r>
    </w:p>
    <w:p w14:paraId="0CE4DC7F" w14:textId="1217EAEF" w:rsidR="00E80C47" w:rsidRPr="002F2D39" w:rsidRDefault="00E80C47" w:rsidP="00832D8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4C8A3043" w14:textId="7B5913FF" w:rsidR="00E80C47" w:rsidRPr="002F2D39" w:rsidRDefault="163FA60D" w:rsidP="00832D89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</w:pPr>
      <w:r w:rsidRPr="002F2D3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 xml:space="preserve">Results: </w:t>
      </w:r>
    </w:p>
    <w:p w14:paraId="2F6BA929" w14:textId="07737EF8" w:rsidR="00E80C47" w:rsidRDefault="7016808F" w:rsidP="00832D89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en-AU"/>
        </w:rPr>
      </w:pP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Consumer insights during the needs assessment</w:t>
      </w:r>
      <w:r w:rsidR="00D8129E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and codesign phases</w:t>
      </w: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6610B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(n=20) </w:t>
      </w: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highlighted the importance of regular communication along the care continuum and</w:t>
      </w:r>
      <w:r w:rsidR="2297892A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providing</w:t>
      </w: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information in a manner which is easy to understand; "Speak laymen terms people".  </w:t>
      </w:r>
      <w:r w:rsidR="00C52022" w:rsidRPr="2CE03350">
        <w:rPr>
          <w:rFonts w:ascii="Arial" w:eastAsia="Arial" w:hAnsi="Arial" w:cs="Arial"/>
          <w:sz w:val="22"/>
          <w:szCs w:val="22"/>
        </w:rPr>
        <w:t xml:space="preserve">Trusted relationships with healthcare professionals </w:t>
      </w:r>
      <w:r w:rsidR="001131D3" w:rsidRPr="2CE03350">
        <w:rPr>
          <w:rFonts w:ascii="Arial" w:eastAsia="Arial" w:hAnsi="Arial" w:cs="Arial"/>
          <w:sz w:val="22"/>
          <w:szCs w:val="22"/>
        </w:rPr>
        <w:t>w</w:t>
      </w:r>
      <w:r w:rsidR="5AEF79B2" w:rsidRPr="2CE03350">
        <w:rPr>
          <w:rFonts w:ascii="Arial" w:eastAsia="Arial" w:hAnsi="Arial" w:cs="Arial"/>
          <w:sz w:val="22"/>
          <w:szCs w:val="22"/>
        </w:rPr>
        <w:t>ere</w:t>
      </w:r>
      <w:r w:rsidR="001131D3" w:rsidRPr="2CE03350">
        <w:rPr>
          <w:rFonts w:ascii="Arial" w:eastAsia="Arial" w:hAnsi="Arial" w:cs="Arial"/>
          <w:sz w:val="22"/>
          <w:szCs w:val="22"/>
        </w:rPr>
        <w:t xml:space="preserve"> heavily emphasised</w:t>
      </w:r>
      <w:r w:rsidR="00952FE3" w:rsidRPr="2CE03350">
        <w:rPr>
          <w:rFonts w:ascii="Arial" w:eastAsia="Arial" w:hAnsi="Arial" w:cs="Arial"/>
          <w:sz w:val="22"/>
          <w:szCs w:val="22"/>
        </w:rPr>
        <w:t xml:space="preserve">, highlighting </w:t>
      </w:r>
      <w:r w:rsidR="00C52022" w:rsidRPr="2CE03350">
        <w:rPr>
          <w:rFonts w:ascii="Arial" w:eastAsia="Arial" w:hAnsi="Arial" w:cs="Arial"/>
          <w:sz w:val="22"/>
          <w:szCs w:val="22"/>
        </w:rPr>
        <w:t>the need for clinicians to understand individuals</w:t>
      </w:r>
      <w:r w:rsidR="009E1CF7" w:rsidRPr="2CE03350">
        <w:rPr>
          <w:rFonts w:ascii="Arial" w:eastAsia="Arial" w:hAnsi="Arial" w:cs="Arial"/>
          <w:sz w:val="22"/>
          <w:szCs w:val="22"/>
        </w:rPr>
        <w:t xml:space="preserve"> as people</w:t>
      </w:r>
      <w:r w:rsidR="00C52022" w:rsidRPr="2CE03350">
        <w:rPr>
          <w:rFonts w:ascii="Arial" w:eastAsia="Arial" w:hAnsi="Arial" w:cs="Arial"/>
          <w:sz w:val="22"/>
          <w:szCs w:val="22"/>
        </w:rPr>
        <w:t xml:space="preserve"> and empower </w:t>
      </w:r>
      <w:r w:rsidR="009E1CF7" w:rsidRPr="2CE03350">
        <w:rPr>
          <w:rFonts w:ascii="Arial" w:eastAsia="Arial" w:hAnsi="Arial" w:cs="Arial"/>
          <w:sz w:val="22"/>
          <w:szCs w:val="22"/>
        </w:rPr>
        <w:t>them</w:t>
      </w:r>
      <w:r w:rsidR="00C52022" w:rsidRPr="2CE03350">
        <w:rPr>
          <w:rFonts w:ascii="Arial" w:eastAsia="Arial" w:hAnsi="Arial" w:cs="Arial"/>
          <w:sz w:val="22"/>
          <w:szCs w:val="22"/>
        </w:rPr>
        <w:t xml:space="preserve"> in their care.</w:t>
      </w:r>
      <w:r w:rsidR="009E1CF7" w:rsidRPr="2CE03350">
        <w:rPr>
          <w:rFonts w:ascii="Arial" w:eastAsia="Arial" w:hAnsi="Arial" w:cs="Arial"/>
          <w:sz w:val="22"/>
          <w:szCs w:val="22"/>
        </w:rPr>
        <w:t xml:space="preserve"> </w:t>
      </w:r>
      <w:r w:rsidR="009F4F02" w:rsidRPr="2CE03350">
        <w:rPr>
          <w:rFonts w:ascii="Arial" w:eastAsia="Arial" w:hAnsi="Arial" w:cs="Arial"/>
          <w:sz w:val="22"/>
          <w:szCs w:val="22"/>
        </w:rPr>
        <w:t xml:space="preserve">Evaluation of consumer experience following implementation of the IDETECKD service (n=12) </w:t>
      </w:r>
      <w:r w:rsidR="006A4E1E" w:rsidRPr="2CE03350">
        <w:rPr>
          <w:rFonts w:ascii="Arial" w:eastAsia="Arial" w:hAnsi="Arial" w:cs="Arial"/>
          <w:sz w:val="22"/>
          <w:szCs w:val="22"/>
          <w:lang w:val="en-AU"/>
        </w:rPr>
        <w:t>showcased</w:t>
      </w:r>
      <w:r w:rsidRPr="2CE03350">
        <w:rPr>
          <w:rFonts w:ascii="Arial" w:eastAsia="Arial" w:hAnsi="Arial" w:cs="Arial"/>
          <w:sz w:val="22"/>
          <w:szCs w:val="22"/>
          <w:lang w:val="en-AU"/>
        </w:rPr>
        <w:t xml:space="preserve"> the high acceptability and satisfaction with the </w:t>
      </w:r>
      <w:r w:rsidR="2B1B4C04" w:rsidRPr="2CE03350">
        <w:rPr>
          <w:rFonts w:ascii="Arial" w:eastAsia="Arial" w:hAnsi="Arial" w:cs="Arial"/>
          <w:sz w:val="22"/>
          <w:szCs w:val="22"/>
          <w:lang w:val="en-AU"/>
        </w:rPr>
        <w:t>DDE</w:t>
      </w:r>
      <w:r w:rsidRPr="2CE03350">
        <w:rPr>
          <w:rFonts w:ascii="Arial" w:eastAsia="Arial" w:hAnsi="Arial" w:cs="Arial"/>
          <w:sz w:val="22"/>
          <w:szCs w:val="22"/>
          <w:lang w:val="en-AU"/>
        </w:rPr>
        <w:t xml:space="preserve"> and N</w:t>
      </w:r>
      <w:r w:rsidR="10F5042A" w:rsidRPr="2CE03350">
        <w:rPr>
          <w:rFonts w:ascii="Arial" w:eastAsia="Arial" w:hAnsi="Arial" w:cs="Arial"/>
          <w:sz w:val="22"/>
          <w:szCs w:val="22"/>
          <w:lang w:val="en-AU"/>
        </w:rPr>
        <w:t>P</w:t>
      </w:r>
      <w:r w:rsidRPr="2CE03350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006A4E1E" w:rsidRPr="2CE03350">
        <w:rPr>
          <w:rFonts w:ascii="Arial" w:eastAsia="Arial" w:hAnsi="Arial" w:cs="Arial"/>
          <w:sz w:val="22"/>
          <w:szCs w:val="22"/>
          <w:lang w:val="en-AU"/>
        </w:rPr>
        <w:t>led service model</w:t>
      </w:r>
      <w:r w:rsidR="00F14BFC" w:rsidRPr="2CE03350">
        <w:rPr>
          <w:rFonts w:ascii="Arial" w:eastAsia="Arial" w:hAnsi="Arial" w:cs="Arial"/>
          <w:sz w:val="22"/>
          <w:szCs w:val="22"/>
          <w:lang w:val="en-AU"/>
        </w:rPr>
        <w:t xml:space="preserve"> “this is brilliant”</w:t>
      </w:r>
      <w:r w:rsidR="00294EC2" w:rsidRPr="2CE03350">
        <w:rPr>
          <w:rFonts w:ascii="Arial" w:eastAsia="Arial" w:hAnsi="Arial" w:cs="Arial"/>
          <w:sz w:val="22"/>
          <w:szCs w:val="22"/>
          <w:lang w:val="en-AU"/>
        </w:rPr>
        <w:t>.</w:t>
      </w:r>
    </w:p>
    <w:p w14:paraId="17F2B809" w14:textId="6FF7DDC5" w:rsidR="00E80C47" w:rsidRPr="002F2D39" w:rsidRDefault="00E80C47" w:rsidP="00832D89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</w:p>
    <w:p w14:paraId="5E91884C" w14:textId="41875DB3" w:rsidR="00E80C47" w:rsidRPr="002F2D39" w:rsidRDefault="163FA60D" w:rsidP="00832D89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</w:pPr>
      <w:r w:rsidRPr="002F2D3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Conclusion:</w:t>
      </w:r>
    </w:p>
    <w:p w14:paraId="1BFD695D" w14:textId="1ACDEE9F" w:rsidR="00A03638" w:rsidRDefault="00B00949" w:rsidP="2CE0335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Co-designing specialist health services with consumers provides valuable insights to guide responsive service delivery. </w:t>
      </w:r>
      <w:r w:rsidR="07782F86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Prioriti</w:t>
      </w:r>
      <w:r w:rsidR="39C68E76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z</w:t>
      </w:r>
      <w:r w:rsidR="07782F86" w:rsidRPr="2CE0335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ing productive consumer and service relationships may enhance service engagement by responding to consumer needs. </w:t>
      </w:r>
      <w:r w:rsidR="00C62175" w:rsidRPr="2CE0335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These consumer experiences, coupled with an ongoing evaluation of health outcomes will provide evidence to support future workforce innovations which may provide cost-effective care options.</w:t>
      </w:r>
    </w:p>
    <w:p w14:paraId="7094932C" w14:textId="514AAA10" w:rsidR="00F60060" w:rsidRDefault="00F60060">
      <w:pPr>
        <w:rPr>
          <w:rFonts w:ascii="Arial" w:eastAsia="Arial" w:hAnsi="Arial" w:cs="Arial"/>
          <w:sz w:val="22"/>
          <w:szCs w:val="22"/>
        </w:rPr>
      </w:pPr>
    </w:p>
    <w:sectPr w:rsidR="00F600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C1B"/>
    <w:multiLevelType w:val="hybridMultilevel"/>
    <w:tmpl w:val="3026AAF4"/>
    <w:lvl w:ilvl="0" w:tplc="CAB638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6C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0C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F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2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89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CD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5FEF"/>
    <w:multiLevelType w:val="hybridMultilevel"/>
    <w:tmpl w:val="18C0F902"/>
    <w:lvl w:ilvl="0" w:tplc="6EE0FE3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F8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2E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0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8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24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44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0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2B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4057">
    <w:abstractNumId w:val="1"/>
  </w:num>
  <w:num w:numId="2" w16cid:durableId="73007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091F43"/>
    <w:rsid w:val="00084660"/>
    <w:rsid w:val="000B0D00"/>
    <w:rsid w:val="000C2461"/>
    <w:rsid w:val="000D61D1"/>
    <w:rsid w:val="000F0E84"/>
    <w:rsid w:val="0010242A"/>
    <w:rsid w:val="00106829"/>
    <w:rsid w:val="001131D3"/>
    <w:rsid w:val="001223A5"/>
    <w:rsid w:val="001329E8"/>
    <w:rsid w:val="001435F6"/>
    <w:rsid w:val="00147BDF"/>
    <w:rsid w:val="00160AB3"/>
    <w:rsid w:val="00192530"/>
    <w:rsid w:val="001E0145"/>
    <w:rsid w:val="00205E01"/>
    <w:rsid w:val="00230A91"/>
    <w:rsid w:val="002806C2"/>
    <w:rsid w:val="00294EC2"/>
    <w:rsid w:val="002C2D0E"/>
    <w:rsid w:val="002F2D39"/>
    <w:rsid w:val="002F65B6"/>
    <w:rsid w:val="003202B8"/>
    <w:rsid w:val="003D349B"/>
    <w:rsid w:val="003D3A1C"/>
    <w:rsid w:val="00426C34"/>
    <w:rsid w:val="00427EF9"/>
    <w:rsid w:val="00486152"/>
    <w:rsid w:val="004E23AE"/>
    <w:rsid w:val="005053A7"/>
    <w:rsid w:val="0053685D"/>
    <w:rsid w:val="00561522"/>
    <w:rsid w:val="00575ABE"/>
    <w:rsid w:val="005A4D52"/>
    <w:rsid w:val="005F6A01"/>
    <w:rsid w:val="00617B67"/>
    <w:rsid w:val="00633AE1"/>
    <w:rsid w:val="00636803"/>
    <w:rsid w:val="0064330D"/>
    <w:rsid w:val="00656A69"/>
    <w:rsid w:val="00680806"/>
    <w:rsid w:val="006A4E1E"/>
    <w:rsid w:val="006F0B2E"/>
    <w:rsid w:val="007217C9"/>
    <w:rsid w:val="00734620"/>
    <w:rsid w:val="0074318B"/>
    <w:rsid w:val="00792956"/>
    <w:rsid w:val="00793ADA"/>
    <w:rsid w:val="007F4716"/>
    <w:rsid w:val="00832D89"/>
    <w:rsid w:val="00853202"/>
    <w:rsid w:val="00892CCA"/>
    <w:rsid w:val="008B0FAE"/>
    <w:rsid w:val="008E1347"/>
    <w:rsid w:val="00952FE3"/>
    <w:rsid w:val="00975C42"/>
    <w:rsid w:val="009C1071"/>
    <w:rsid w:val="009E1CF7"/>
    <w:rsid w:val="009F2DE3"/>
    <w:rsid w:val="009F4F02"/>
    <w:rsid w:val="00A03638"/>
    <w:rsid w:val="00A05428"/>
    <w:rsid w:val="00A31BA9"/>
    <w:rsid w:val="00A3475E"/>
    <w:rsid w:val="00A47F9F"/>
    <w:rsid w:val="00A53F43"/>
    <w:rsid w:val="00A54BC9"/>
    <w:rsid w:val="00A74F70"/>
    <w:rsid w:val="00AB4A85"/>
    <w:rsid w:val="00B00949"/>
    <w:rsid w:val="00B20F9F"/>
    <w:rsid w:val="00B358DE"/>
    <w:rsid w:val="00B76709"/>
    <w:rsid w:val="00B93227"/>
    <w:rsid w:val="00BA18DB"/>
    <w:rsid w:val="00BB103E"/>
    <w:rsid w:val="00BB4601"/>
    <w:rsid w:val="00BB5B6C"/>
    <w:rsid w:val="00C20A68"/>
    <w:rsid w:val="00C21CFF"/>
    <w:rsid w:val="00C33E21"/>
    <w:rsid w:val="00C52022"/>
    <w:rsid w:val="00C558F9"/>
    <w:rsid w:val="00C57132"/>
    <w:rsid w:val="00C62175"/>
    <w:rsid w:val="00C853C8"/>
    <w:rsid w:val="00CF5240"/>
    <w:rsid w:val="00D6610B"/>
    <w:rsid w:val="00D76B62"/>
    <w:rsid w:val="00D8129E"/>
    <w:rsid w:val="00D96008"/>
    <w:rsid w:val="00DE5CF9"/>
    <w:rsid w:val="00E11E34"/>
    <w:rsid w:val="00E3163F"/>
    <w:rsid w:val="00E40917"/>
    <w:rsid w:val="00E5341C"/>
    <w:rsid w:val="00E80C47"/>
    <w:rsid w:val="00EE31FE"/>
    <w:rsid w:val="00F0557E"/>
    <w:rsid w:val="00F14214"/>
    <w:rsid w:val="00F14BFC"/>
    <w:rsid w:val="00F17B7A"/>
    <w:rsid w:val="00F20B63"/>
    <w:rsid w:val="00F35C34"/>
    <w:rsid w:val="00F50BD0"/>
    <w:rsid w:val="00F60060"/>
    <w:rsid w:val="00F87C7C"/>
    <w:rsid w:val="00FA5F56"/>
    <w:rsid w:val="0208AAF1"/>
    <w:rsid w:val="02FE2B25"/>
    <w:rsid w:val="053914E0"/>
    <w:rsid w:val="07782F86"/>
    <w:rsid w:val="08B43579"/>
    <w:rsid w:val="092CBF7D"/>
    <w:rsid w:val="09E208E5"/>
    <w:rsid w:val="0C9FD8EC"/>
    <w:rsid w:val="0CE1893B"/>
    <w:rsid w:val="0D213F9A"/>
    <w:rsid w:val="0E03B156"/>
    <w:rsid w:val="0E18AE51"/>
    <w:rsid w:val="0FD3AD7D"/>
    <w:rsid w:val="109B673A"/>
    <w:rsid w:val="10A54BF8"/>
    <w:rsid w:val="10F5042A"/>
    <w:rsid w:val="13376B36"/>
    <w:rsid w:val="150814C5"/>
    <w:rsid w:val="15AF362D"/>
    <w:rsid w:val="163FA60D"/>
    <w:rsid w:val="17F2108B"/>
    <w:rsid w:val="17F45C0D"/>
    <w:rsid w:val="18741D14"/>
    <w:rsid w:val="1A04F112"/>
    <w:rsid w:val="1A2A1621"/>
    <w:rsid w:val="1C7EC2DB"/>
    <w:rsid w:val="1D9F7087"/>
    <w:rsid w:val="1DFC87CC"/>
    <w:rsid w:val="1F0BD21D"/>
    <w:rsid w:val="1F57AAB2"/>
    <w:rsid w:val="1F595156"/>
    <w:rsid w:val="1FEA613F"/>
    <w:rsid w:val="20552703"/>
    <w:rsid w:val="20978AC3"/>
    <w:rsid w:val="21321638"/>
    <w:rsid w:val="2297892A"/>
    <w:rsid w:val="2536B117"/>
    <w:rsid w:val="2575CF69"/>
    <w:rsid w:val="27058F95"/>
    <w:rsid w:val="288BCD31"/>
    <w:rsid w:val="28CD5FEB"/>
    <w:rsid w:val="292393C1"/>
    <w:rsid w:val="2AA6C143"/>
    <w:rsid w:val="2B1B4C04"/>
    <w:rsid w:val="2B6A6F25"/>
    <w:rsid w:val="2C8A30F3"/>
    <w:rsid w:val="2CE03350"/>
    <w:rsid w:val="2DD68AC7"/>
    <w:rsid w:val="2DDDA63B"/>
    <w:rsid w:val="3010629B"/>
    <w:rsid w:val="32091F43"/>
    <w:rsid w:val="33F8E469"/>
    <w:rsid w:val="369D52D9"/>
    <w:rsid w:val="37C76CB0"/>
    <w:rsid w:val="39BA3927"/>
    <w:rsid w:val="39C68E76"/>
    <w:rsid w:val="3A016D3F"/>
    <w:rsid w:val="3B4CA5A2"/>
    <w:rsid w:val="3C34823B"/>
    <w:rsid w:val="3EC3000A"/>
    <w:rsid w:val="3EC3AE6F"/>
    <w:rsid w:val="40318B26"/>
    <w:rsid w:val="41951003"/>
    <w:rsid w:val="434B28AD"/>
    <w:rsid w:val="44124191"/>
    <w:rsid w:val="45389433"/>
    <w:rsid w:val="4A4EA4C2"/>
    <w:rsid w:val="4E536F00"/>
    <w:rsid w:val="4EEFB45E"/>
    <w:rsid w:val="4F8E20F4"/>
    <w:rsid w:val="5452AE8D"/>
    <w:rsid w:val="54E12E3C"/>
    <w:rsid w:val="55BA4679"/>
    <w:rsid w:val="5630C4EA"/>
    <w:rsid w:val="56F44864"/>
    <w:rsid w:val="57020E9C"/>
    <w:rsid w:val="58F86A36"/>
    <w:rsid w:val="595D09BA"/>
    <w:rsid w:val="5A9D0090"/>
    <w:rsid w:val="5AB92E57"/>
    <w:rsid w:val="5AEF79B2"/>
    <w:rsid w:val="5CEE0527"/>
    <w:rsid w:val="5D175F7A"/>
    <w:rsid w:val="6068C6FB"/>
    <w:rsid w:val="6235CC81"/>
    <w:rsid w:val="630E83E9"/>
    <w:rsid w:val="65BD073F"/>
    <w:rsid w:val="68C65CF6"/>
    <w:rsid w:val="6CA3FC89"/>
    <w:rsid w:val="6CAA0721"/>
    <w:rsid w:val="6E8ABA19"/>
    <w:rsid w:val="7016808F"/>
    <w:rsid w:val="707AE560"/>
    <w:rsid w:val="7652FE6B"/>
    <w:rsid w:val="769B5F20"/>
    <w:rsid w:val="781C7B86"/>
    <w:rsid w:val="7A446BC4"/>
    <w:rsid w:val="7F4FC273"/>
    <w:rsid w:val="7F98C43B"/>
    <w:rsid w:val="7FA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1F43"/>
  <w15:chartTrackingRefBased/>
  <w15:docId w15:val="{CD112949-B425-492C-94D7-564B6B6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F4FC273"/>
    <w:pPr>
      <w:ind w:left="720"/>
      <w:contextualSpacing/>
    </w:pPr>
  </w:style>
  <w:style w:type="character" w:customStyle="1" w:styleId="normaltextrun">
    <w:name w:val="normaltextrun"/>
    <w:basedOn w:val="DefaultParagraphFont"/>
    <w:rsid w:val="00656A69"/>
  </w:style>
  <w:style w:type="character" w:customStyle="1" w:styleId="eop">
    <w:name w:val="eop"/>
    <w:basedOn w:val="DefaultParagraphFont"/>
    <w:rsid w:val="00656A6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d809d-de28-4735-8458-3121d9ed90af">
      <Terms xmlns="http://schemas.microsoft.com/office/infopath/2007/PartnerControls"/>
    </lcf76f155ced4ddcb4097134ff3c332f>
    <TaxCatchAll xmlns="3e035340-2944-4727-9f74-27603fa6c1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371BF2690C44293A768FD82778871" ma:contentTypeVersion="15" ma:contentTypeDescription="Create a new document." ma:contentTypeScope="" ma:versionID="15eb3e81ec8c975e843061db8816b28d">
  <xsd:schema xmlns:xsd="http://www.w3.org/2001/XMLSchema" xmlns:xs="http://www.w3.org/2001/XMLSchema" xmlns:p="http://schemas.microsoft.com/office/2006/metadata/properties" xmlns:ns2="e15d809d-de28-4735-8458-3121d9ed90af" xmlns:ns3="7abaaf2e-cf16-4cdf-9dc8-6db2018db667" xmlns:ns4="3e035340-2944-4727-9f74-27603fa6c14a" targetNamespace="http://schemas.microsoft.com/office/2006/metadata/properties" ma:root="true" ma:fieldsID="ee8ac5e2b036e9addecb51abc1da3162" ns2:_="" ns3:_="" ns4:_="">
    <xsd:import namespace="e15d809d-de28-4735-8458-3121d9ed90af"/>
    <xsd:import namespace="7abaaf2e-cf16-4cdf-9dc8-6db2018db667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09d-de28-4735-8458-3121d9ed9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aaf2e-cf16-4cdf-9dc8-6db2018db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92d06c8-4586-4cc6-8a59-65df52b9023b}" ma:internalName="TaxCatchAll" ma:showField="CatchAllData" ma:web="7abaaf2e-cf16-4cdf-9dc8-6db2018db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CABFC-A303-4FD9-ABFB-AF031F9B695C}">
  <ds:schemaRefs>
    <ds:schemaRef ds:uri="http://schemas.microsoft.com/office/2006/metadata/properties"/>
    <ds:schemaRef ds:uri="http://schemas.microsoft.com/office/infopath/2007/PartnerControls"/>
    <ds:schemaRef ds:uri="e15d809d-de28-4735-8458-3121d9ed90af"/>
    <ds:schemaRef ds:uri="3e035340-2944-4727-9f74-27603fa6c14a"/>
  </ds:schemaRefs>
</ds:datastoreItem>
</file>

<file path=customXml/itemProps2.xml><?xml version="1.0" encoding="utf-8"?>
<ds:datastoreItem xmlns:ds="http://schemas.openxmlformats.org/officeDocument/2006/customXml" ds:itemID="{4980B9CC-42F3-4394-8017-D8480AF82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99706-634F-498D-A8FB-488A65A33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d809d-de28-4735-8458-3121d9ed90af"/>
    <ds:schemaRef ds:uri="7abaaf2e-cf16-4cdf-9dc8-6db2018db667"/>
    <ds:schemaRef ds:uri="3e035340-2944-4727-9f74-27603fa6c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Owers</dc:creator>
  <cp:keywords/>
  <dc:description/>
  <cp:lastModifiedBy>Jacqueline Cotugno</cp:lastModifiedBy>
  <cp:revision>2</cp:revision>
  <dcterms:created xsi:type="dcterms:W3CDTF">2025-05-16T01:49:00Z</dcterms:created>
  <dcterms:modified xsi:type="dcterms:W3CDTF">2025-05-16T01:49:00Z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0x010100D45371BF2690C44293A768FD82778871</vt:lpwstr>
  </property>
  <property fmtid="{D5CDD505-2E9C-101B-9397-08002B2CF9AE}" pid="3" name="MediaServiceImageTags">
    <vt:lpwstr/>
  </property>
</Properties>
</file>