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5B600EAF" w:rsidR="00C8423A" w:rsidRPr="008A4F95" w:rsidRDefault="00547B45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A4F9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7EF25E97" w14:textId="3C18DB23" w:rsidR="008B44EB" w:rsidRPr="00547B45" w:rsidRDefault="008B44EB" w:rsidP="00706DE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B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"What </w:t>
            </w:r>
            <w:r w:rsidR="00640AC4" w:rsidRPr="00547B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then </w:t>
            </w:r>
            <w:r w:rsidRPr="00547B45">
              <w:rPr>
                <w:rFonts w:ascii="Arial" w:hAnsi="Arial" w:cs="Arial"/>
                <w:b/>
                <w:bCs/>
                <w:sz w:val="22"/>
                <w:szCs w:val="22"/>
              </w:rPr>
              <w:t>becomes possible?" - Turning the tables on sectoral adaptation</w:t>
            </w:r>
          </w:p>
          <w:p w14:paraId="3F7D1534" w14:textId="77777777" w:rsidR="00C8423A" w:rsidRPr="009C75AE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3FEF69FD" w:rsidR="0065012F" w:rsidRPr="0071496C" w:rsidRDefault="0071496C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1496C">
              <w:rPr>
                <w:rFonts w:ascii="Arial" w:hAnsi="Arial" w:cs="Arial"/>
                <w:bCs/>
                <w:sz w:val="22"/>
                <w:szCs w:val="22"/>
              </w:rPr>
              <w:t xml:space="preserve">Adaptation planning for </w:t>
            </w:r>
            <w:r w:rsidR="00920AD9">
              <w:rPr>
                <w:rFonts w:ascii="Arial" w:hAnsi="Arial" w:cs="Arial"/>
                <w:bCs/>
                <w:sz w:val="22"/>
                <w:szCs w:val="22"/>
              </w:rPr>
              <w:t>food production in Canada</w:t>
            </w:r>
            <w:r w:rsidRPr="007149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20AD9">
              <w:rPr>
                <w:rFonts w:ascii="Arial" w:hAnsi="Arial" w:cs="Arial"/>
                <w:bCs/>
                <w:sz w:val="22"/>
                <w:szCs w:val="22"/>
              </w:rPr>
              <w:t xml:space="preserve">often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focus</w:t>
            </w:r>
            <w:r w:rsidR="00374916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on </w:t>
            </w:r>
            <w:r w:rsidR="00374916">
              <w:rPr>
                <w:rFonts w:ascii="Arial" w:hAnsi="Arial" w:cs="Arial"/>
                <w:bCs/>
                <w:sz w:val="22"/>
                <w:szCs w:val="22"/>
              </w:rPr>
              <w:t xml:space="preserve">reducing direct climate risks at </w:t>
            </w:r>
            <w:r w:rsidRPr="0071496C">
              <w:rPr>
                <w:rFonts w:ascii="Arial" w:hAnsi="Arial" w:cs="Arial"/>
                <w:bCs/>
                <w:sz w:val="22"/>
                <w:szCs w:val="22"/>
              </w:rPr>
              <w:t>the field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1496C">
              <w:rPr>
                <w:rFonts w:ascii="Arial" w:hAnsi="Arial" w:cs="Arial"/>
                <w:bCs/>
                <w:sz w:val="22"/>
                <w:szCs w:val="22"/>
              </w:rPr>
              <w:t>and commodity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1496C">
              <w:rPr>
                <w:rFonts w:ascii="Arial" w:hAnsi="Arial" w:cs="Arial"/>
                <w:bCs/>
                <w:sz w:val="22"/>
                <w:szCs w:val="22"/>
              </w:rPr>
              <w:t>level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71496C">
              <w:rPr>
                <w:rFonts w:ascii="Arial" w:hAnsi="Arial" w:cs="Arial"/>
                <w:bCs/>
                <w:sz w:val="22"/>
                <w:szCs w:val="22"/>
              </w:rPr>
              <w:t>. The Prince Edward Island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(PEI)</w:t>
            </w:r>
            <w:r w:rsidRPr="0071496C">
              <w:rPr>
                <w:rFonts w:ascii="Arial" w:hAnsi="Arial" w:cs="Arial"/>
                <w:bCs/>
                <w:sz w:val="22"/>
                <w:szCs w:val="22"/>
              </w:rPr>
              <w:t xml:space="preserve"> Federation of Agriculture recently completed the province's </w:t>
            </w:r>
            <w:r w:rsidR="00920AD9" w:rsidRPr="0071496C">
              <w:rPr>
                <w:rFonts w:ascii="Arial" w:hAnsi="Arial" w:cs="Arial"/>
                <w:bCs/>
                <w:sz w:val="22"/>
                <w:szCs w:val="22"/>
              </w:rPr>
              <w:t>first ever</w:t>
            </w:r>
            <w:r w:rsidRPr="0071496C">
              <w:rPr>
                <w:rFonts w:ascii="Arial" w:hAnsi="Arial" w:cs="Arial"/>
                <w:bCs/>
                <w:sz w:val="22"/>
                <w:szCs w:val="22"/>
              </w:rPr>
              <w:t xml:space="preserve"> sectoral adaptation plan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1496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Building Resilience for PEI Agriculture</w:t>
            </w:r>
            <w:r w:rsidRPr="0071496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It reimagines</w:t>
            </w:r>
            <w:r w:rsidR="00920A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adaptation by using scenarios and futures thinking to identify enabling conditions and concrete actions needed to reduce climat</w:t>
            </w:r>
            <w:r w:rsidR="00640AC4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non-climat</w:t>
            </w:r>
            <w:r w:rsidR="00640AC4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risks</w:t>
            </w:r>
            <w:r w:rsidR="00920AD9">
              <w:rPr>
                <w:rFonts w:ascii="Arial" w:hAnsi="Arial" w:cs="Arial"/>
                <w:bCs/>
                <w:sz w:val="22"/>
                <w:szCs w:val="22"/>
              </w:rPr>
              <w:t>, together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DF91687" w14:textId="77777777" w:rsidR="0071496C" w:rsidRDefault="0071496C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DF7D437" w14:textId="1482BC32" w:rsidR="0065012F" w:rsidRDefault="0071496C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4B1338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lan </w:t>
            </w:r>
            <w:r w:rsidR="00F6297C">
              <w:rPr>
                <w:rFonts w:ascii="Arial" w:hAnsi="Arial" w:cs="Arial"/>
                <w:bCs/>
                <w:sz w:val="22"/>
                <w:szCs w:val="22"/>
              </w:rPr>
              <w:t>started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with two objectives:</w:t>
            </w:r>
          </w:p>
          <w:p w14:paraId="6152A767" w14:textId="1D415E1B" w:rsidR="0071496C" w:rsidRDefault="0071496C" w:rsidP="0071496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Highlight the shared and unique adaptation needs of commodities at the field and sector levels; and</w:t>
            </w:r>
          </w:p>
          <w:p w14:paraId="2FB54310" w14:textId="2B63A6D2" w:rsidR="0071496C" w:rsidRPr="0071496C" w:rsidRDefault="0071496C" w:rsidP="0071496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Address barriers faced by farmers and agriculture sector organizations in proactive adaptation.</w:t>
            </w:r>
          </w:p>
          <w:p w14:paraId="783FF444" w14:textId="77777777" w:rsidR="0071496C" w:rsidRDefault="0071496C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D1718D" w14:textId="29C1402F" w:rsidR="0071496C" w:rsidRDefault="0071496C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As the co-development process with farmers </w:t>
            </w:r>
            <w:r w:rsidR="00920AD9">
              <w:rPr>
                <w:rFonts w:ascii="Arial" w:hAnsi="Arial" w:cs="Arial"/>
                <w:bCs/>
                <w:sz w:val="22"/>
                <w:szCs w:val="22"/>
              </w:rPr>
              <w:t>unfolded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920AD9">
              <w:rPr>
                <w:rFonts w:ascii="Arial" w:hAnsi="Arial" w:cs="Arial"/>
                <w:bCs/>
                <w:sz w:val="22"/>
                <w:szCs w:val="22"/>
              </w:rPr>
              <w:t xml:space="preserve"> additional objectives were set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131DB5C" w14:textId="6261A895" w:rsidR="00920AD9" w:rsidRDefault="00920AD9" w:rsidP="0071496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Make adaptation work for farmers, not the other way around;</w:t>
            </w:r>
          </w:p>
          <w:p w14:paraId="439CF59F" w14:textId="3A66ADD8" w:rsidR="0071496C" w:rsidRDefault="0071496C" w:rsidP="0071496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Explore how adaptation can also address </w:t>
            </w:r>
            <w:r w:rsidR="00374916">
              <w:rPr>
                <w:rFonts w:ascii="Arial" w:hAnsi="Arial" w:cs="Arial"/>
                <w:bCs/>
                <w:sz w:val="22"/>
                <w:szCs w:val="22"/>
              </w:rPr>
              <w:t>non-climate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challenges the sector faces, and vice versa</w:t>
            </w:r>
            <w:r w:rsidR="00920AD9">
              <w:rPr>
                <w:rFonts w:ascii="Arial" w:hAnsi="Arial" w:cs="Arial"/>
                <w:bCs/>
                <w:sz w:val="22"/>
                <w:szCs w:val="22"/>
              </w:rPr>
              <w:t>; and</w:t>
            </w:r>
          </w:p>
          <w:p w14:paraId="17FE108C" w14:textId="728F0293" w:rsidR="00920AD9" w:rsidRPr="0071496C" w:rsidRDefault="00920AD9" w:rsidP="0071496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Make future adaptation more possible.</w:t>
            </w:r>
          </w:p>
          <w:p w14:paraId="4C6A5B5C" w14:textId="77777777" w:rsidR="0071496C" w:rsidRDefault="0071496C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0790CCCA" w14:textId="71A4F5A0" w:rsidR="00920AD9" w:rsidRDefault="00640AC4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paper presentation will share the novel use of modified </w:t>
            </w:r>
            <w:r w:rsidRPr="00640AC4">
              <w:rPr>
                <w:rFonts w:ascii="Arial" w:hAnsi="Arial" w:cs="Arial"/>
                <w:bCs/>
                <w:sz w:val="22"/>
                <w:szCs w:val="22"/>
              </w:rPr>
              <w:t>risk assessment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 and modified adaptation pathways to identify </w:t>
            </w:r>
            <w:r w:rsidR="00F6297C">
              <w:rPr>
                <w:rFonts w:ascii="Arial" w:hAnsi="Arial" w:cs="Arial"/>
                <w:bCs/>
                <w:sz w:val="22"/>
                <w:szCs w:val="22"/>
              </w:rPr>
              <w:t xml:space="preserve">actions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and futures scenarios that address climate and non-climate risks together. The power of the question “what then becomes possible” </w:t>
            </w:r>
            <w:r w:rsidR="00F6297C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successfully engaging farmers in long-term scenario and futures thinking will be demonstrated. </w:t>
            </w:r>
            <w:r w:rsidR="003458CE">
              <w:rPr>
                <w:rFonts w:ascii="Arial" w:hAnsi="Arial" w:cs="Arial"/>
                <w:bCs/>
                <w:sz w:val="22"/>
                <w:szCs w:val="22"/>
              </w:rPr>
              <w:t xml:space="preserve">Successful and </w:t>
            </w:r>
            <w:r w:rsidR="00F6297C">
              <w:rPr>
                <w:rFonts w:ascii="Arial" w:hAnsi="Arial" w:cs="Arial"/>
                <w:bCs/>
                <w:sz w:val="22"/>
                <w:szCs w:val="22"/>
              </w:rPr>
              <w:t xml:space="preserve">failed </w:t>
            </w:r>
            <w:r w:rsidR="003458CE">
              <w:rPr>
                <w:rFonts w:ascii="Arial" w:hAnsi="Arial" w:cs="Arial"/>
                <w:bCs/>
                <w:sz w:val="22"/>
                <w:szCs w:val="22"/>
              </w:rPr>
              <w:t xml:space="preserve">attempts at creating visualizations of </w:t>
            </w:r>
            <w:r w:rsidR="00F6297C">
              <w:rPr>
                <w:rFonts w:ascii="Arial" w:hAnsi="Arial" w:cs="Arial"/>
                <w:bCs/>
                <w:sz w:val="22"/>
                <w:szCs w:val="22"/>
              </w:rPr>
              <w:t xml:space="preserve">future </w:t>
            </w:r>
            <w:r w:rsidR="003458CE">
              <w:rPr>
                <w:rFonts w:ascii="Arial" w:hAnsi="Arial" w:cs="Arial"/>
                <w:bCs/>
                <w:sz w:val="22"/>
                <w:szCs w:val="22"/>
              </w:rPr>
              <w:t>pathways and scenarios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through farmer and stakeholder engagement will be shared, highlighting the </w:t>
            </w:r>
            <w:r w:rsidR="00F6297C">
              <w:rPr>
                <w:rFonts w:ascii="Arial" w:hAnsi="Arial" w:cs="Arial"/>
                <w:bCs/>
                <w:sz w:val="22"/>
                <w:szCs w:val="22"/>
              </w:rPr>
              <w:t xml:space="preserve">importance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of framing and facilitation choices. The </w:t>
            </w:r>
            <w:r w:rsidR="00374916">
              <w:rPr>
                <w:rFonts w:ascii="Arial" w:hAnsi="Arial" w:cs="Arial"/>
                <w:bCs/>
                <w:sz w:val="22"/>
                <w:szCs w:val="22"/>
              </w:rPr>
              <w:t xml:space="preserve">adjustments made to generate funder support for an unexpected repositioning of sectoral adaptation will also be </w:t>
            </w:r>
            <w:r w:rsidR="003458CE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r w:rsidR="0037491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6C083C3" w14:textId="77777777" w:rsidR="00920AD9" w:rsidRDefault="00920AD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41685396" w14:textId="4913D043" w:rsidR="00F03D15" w:rsidRDefault="00F03D15" w:rsidP="00F03D1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engagement-led, research-supported process identified “</w:t>
            </w:r>
            <w:r w:rsidR="004B1338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ost and finances” and “labour” </w:t>
            </w:r>
            <w:r w:rsidR="004B1338">
              <w:rPr>
                <w:rFonts w:ascii="Arial" w:hAnsi="Arial" w:cs="Arial"/>
                <w:bCs/>
                <w:sz w:val="22"/>
                <w:szCs w:val="22"/>
              </w:rPr>
              <w:t xml:space="preserve">as the most significant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business and social risks while “warming temperatures” and “changing precipitation patterns” </w:t>
            </w:r>
            <w:r w:rsidR="004B1338">
              <w:rPr>
                <w:rFonts w:ascii="Arial" w:hAnsi="Arial" w:cs="Arial"/>
                <w:bCs/>
                <w:sz w:val="22"/>
                <w:szCs w:val="22"/>
              </w:rPr>
              <w:t>as the most significant climate risks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B1338">
              <w:rPr>
                <w:rFonts w:ascii="Arial" w:hAnsi="Arial" w:cs="Arial"/>
                <w:bCs/>
                <w:sz w:val="22"/>
                <w:szCs w:val="22"/>
              </w:rPr>
              <w:t xml:space="preserve"> Eight key sectoral adaptation actions that address immediate climate and non-climate challenges while laying the foundation for long-term, proactive adaptation were also identified.</w:t>
            </w:r>
          </w:p>
          <w:p w14:paraId="01806A19" w14:textId="77777777" w:rsidR="00F03D15" w:rsidRDefault="00F03D15" w:rsidP="00F03D1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A286C0" w14:textId="01195CAF" w:rsidR="00F03D15" w:rsidRDefault="00F03D15" w:rsidP="00F03D1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4B1338">
              <w:rPr>
                <w:rFonts w:ascii="Arial" w:hAnsi="Arial" w:cs="Arial"/>
                <w:bCs/>
                <w:sz w:val="22"/>
                <w:szCs w:val="22"/>
              </w:rPr>
              <w:t xml:space="preserve">co-development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process itself also 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 xml:space="preserve">changed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farmers’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 xml:space="preserve"> view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 xml:space="preserve"> of adaptation.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>First, they saw that adaptation practitioners now understand their context</w:t>
            </w:r>
            <w:r w:rsidR="004E00D9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 xml:space="preserve"> and needs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can be trusted in co-development processes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 xml:space="preserve">Second, they saw how on-farm and sectoral adaptation options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can</w:t>
            </w:r>
            <w:r w:rsidR="004B1338">
              <w:rPr>
                <w:rFonts w:ascii="Arial" w:hAnsi="Arial" w:cs="Arial"/>
                <w:bCs/>
                <w:sz w:val="22"/>
                <w:szCs w:val="22"/>
              </w:rPr>
              <w:t xml:space="preserve"> connect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>open future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>opportunities. Third, they saw multiple stakeholders wanting to share the work to help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>reduce obstacles</w:t>
            </w:r>
            <w:r w:rsidR="004E00D9">
              <w:rPr>
                <w:rFonts w:ascii="Arial" w:hAnsi="Arial" w:cs="Arial"/>
                <w:bCs/>
                <w:sz w:val="22"/>
                <w:szCs w:val="22"/>
              </w:rPr>
              <w:t xml:space="preserve"> at the sector-level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 xml:space="preserve">, making their on-farm </w:t>
            </w:r>
            <w:r w:rsidR="004E00D9">
              <w:rPr>
                <w:rFonts w:ascii="Arial" w:hAnsi="Arial" w:cs="Arial"/>
                <w:bCs/>
                <w:sz w:val="22"/>
                <w:szCs w:val="22"/>
              </w:rPr>
              <w:t xml:space="preserve">efforts 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 xml:space="preserve">more </w:t>
            </w:r>
            <w:r w:rsidR="004B1338">
              <w:rPr>
                <w:rFonts w:ascii="Arial" w:hAnsi="Arial" w:cs="Arial"/>
                <w:bCs/>
                <w:sz w:val="22"/>
                <w:szCs w:val="22"/>
              </w:rPr>
              <w:t xml:space="preserve">possible and </w:t>
            </w:r>
            <w:r w:rsidRPr="003458CE">
              <w:rPr>
                <w:rFonts w:ascii="Arial" w:hAnsi="Arial" w:cs="Arial"/>
                <w:bCs/>
                <w:sz w:val="22"/>
                <w:szCs w:val="22"/>
              </w:rPr>
              <w:t>meaningful.</w:t>
            </w:r>
          </w:p>
          <w:p w14:paraId="26D33A85" w14:textId="77777777" w:rsidR="003458CE" w:rsidRDefault="003458CE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C21CCC2" w14:textId="3D83DD77" w:rsidR="00756C5D" w:rsidRDefault="00756C5D" w:rsidP="00756C5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the past, conversations around adaptation failed to generate buy-in and trust. The decision to lean into the complexity of looking at climate risks and non-climate risks together </w:t>
            </w:r>
            <w:r w:rsidR="004E00D9">
              <w:rPr>
                <w:rFonts w:ascii="Arial" w:hAnsi="Arial" w:cs="Arial"/>
                <w:bCs/>
                <w:sz w:val="22"/>
                <w:szCs w:val="22"/>
              </w:rPr>
              <w:t xml:space="preserve">unearthed a </w:t>
            </w:r>
            <w:r w:rsidR="00F6297C">
              <w:rPr>
                <w:rFonts w:ascii="Arial" w:hAnsi="Arial" w:cs="Arial"/>
                <w:bCs/>
                <w:sz w:val="22"/>
                <w:szCs w:val="22"/>
              </w:rPr>
              <w:t>new</w:t>
            </w:r>
            <w:r w:rsidR="004E00D9">
              <w:rPr>
                <w:rFonts w:ascii="Arial" w:hAnsi="Arial" w:cs="Arial"/>
                <w:bCs/>
                <w:sz w:val="22"/>
                <w:szCs w:val="22"/>
              </w:rPr>
              <w:t xml:space="preserve"> understanding of barriers to adaptation. For example, the lack of succession planning (business risk) and active</w:t>
            </w:r>
            <w:r>
              <w:rPr>
                <w:rFonts w:ascii="Arial" w:hAnsi="Arial" w:cs="Arial"/>
                <w:bCs/>
                <w:sz w:val="22"/>
                <w:szCs w:val="22"/>
              </w:rPr>
              <w:t>ly</w:t>
            </w:r>
            <w:r w:rsidR="004E00D9">
              <w:rPr>
                <w:rFonts w:ascii="Arial" w:hAnsi="Arial" w:cs="Arial"/>
                <w:bCs/>
                <w:sz w:val="22"/>
                <w:szCs w:val="22"/>
              </w:rPr>
              <w:t xml:space="preserve"> discouraging the next generation from farming (social risk) due to the mental stress (health risk) of thin margins and high debt loads (business risk) w</w:t>
            </w:r>
            <w:r w:rsidR="00473265">
              <w:rPr>
                <w:rFonts w:ascii="Arial" w:hAnsi="Arial" w:cs="Arial"/>
                <w:bCs/>
                <w:sz w:val="22"/>
                <w:szCs w:val="22"/>
              </w:rPr>
              <w:t>ere</w:t>
            </w:r>
            <w:r w:rsidR="004E00D9">
              <w:rPr>
                <w:rFonts w:ascii="Arial" w:hAnsi="Arial" w:cs="Arial"/>
                <w:bCs/>
                <w:sz w:val="22"/>
                <w:szCs w:val="22"/>
              </w:rPr>
              <w:t xml:space="preserve"> preventing significant,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proactive, </w:t>
            </w:r>
            <w:r w:rsidR="004E00D9">
              <w:rPr>
                <w:rFonts w:ascii="Arial" w:hAnsi="Arial" w:cs="Arial"/>
                <w:bCs/>
                <w:sz w:val="22"/>
                <w:szCs w:val="22"/>
              </w:rPr>
              <w:t>long-term adaptation investments at the farm</w:t>
            </w:r>
            <w:r w:rsidR="00F6297C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E00D9">
              <w:rPr>
                <w:rFonts w:ascii="Arial" w:hAnsi="Arial" w:cs="Arial"/>
                <w:bCs/>
                <w:sz w:val="22"/>
                <w:szCs w:val="22"/>
              </w:rPr>
              <w:t>level.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Farmers articulated </w:t>
            </w:r>
            <w:r w:rsidR="00F6297C">
              <w:rPr>
                <w:rFonts w:ascii="Arial" w:hAnsi="Arial" w:cs="Arial"/>
                <w:bCs/>
                <w:sz w:val="22"/>
                <w:szCs w:val="22"/>
              </w:rPr>
              <w:t xml:space="preserve">they </w:t>
            </w:r>
            <w:r w:rsidRPr="00756C5D">
              <w:rPr>
                <w:rFonts w:ascii="Arial" w:hAnsi="Arial" w:cs="Arial"/>
                <w:bCs/>
                <w:sz w:val="22"/>
                <w:szCs w:val="22"/>
              </w:rPr>
              <w:t>are confident in their ability to adapt</w:t>
            </w:r>
            <w:r w:rsidR="00F6297C">
              <w:rPr>
                <w:rFonts w:ascii="Arial" w:hAnsi="Arial" w:cs="Arial"/>
                <w:bCs/>
                <w:sz w:val="22"/>
                <w:szCs w:val="22"/>
              </w:rPr>
              <w:t xml:space="preserve"> to climate risks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Pr="00756C5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756C5D">
              <w:rPr>
                <w:rFonts w:ascii="Arial" w:hAnsi="Arial" w:cs="Arial"/>
                <w:bCs/>
                <w:sz w:val="22"/>
                <w:szCs w:val="22"/>
              </w:rPr>
              <w:t>t is the other pressures that get in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56C5D">
              <w:rPr>
                <w:rFonts w:ascii="Arial" w:hAnsi="Arial" w:cs="Arial"/>
                <w:bCs/>
                <w:sz w:val="22"/>
                <w:szCs w:val="22"/>
              </w:rPr>
              <w:t xml:space="preserve">way. </w:t>
            </w:r>
            <w:r w:rsidR="00F6297C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olicymakers, funders, and adaptation practitioners are now </w:t>
            </w:r>
            <w:r w:rsidR="00473265">
              <w:rPr>
                <w:rFonts w:ascii="Arial" w:hAnsi="Arial" w:cs="Arial"/>
                <w:bCs/>
                <w:sz w:val="22"/>
                <w:szCs w:val="22"/>
              </w:rPr>
              <w:t>collaborating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 create enabling conditions at the sector-level to support successful adaptation at the </w:t>
            </w:r>
            <w:r w:rsidR="006A285C">
              <w:rPr>
                <w:rFonts w:ascii="Arial" w:hAnsi="Arial" w:cs="Arial"/>
                <w:bCs/>
                <w:sz w:val="22"/>
                <w:szCs w:val="22"/>
              </w:rPr>
              <w:t>farm</w:t>
            </w:r>
            <w:r>
              <w:rPr>
                <w:rFonts w:ascii="Arial" w:hAnsi="Arial" w:cs="Arial"/>
                <w:bCs/>
                <w:sz w:val="22"/>
                <w:szCs w:val="22"/>
              </w:rPr>
              <w:t>-level.</w:t>
            </w:r>
          </w:p>
          <w:p w14:paraId="2CBAECD6" w14:textId="5E8DD7F3" w:rsidR="009F4EA0" w:rsidRPr="00E404A4" w:rsidRDefault="009F4EA0" w:rsidP="00E404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Default="009010B0" w:rsidP="00247C60"/>
    <w:sectPr w:rsidR="009010B0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37D19"/>
    <w:multiLevelType w:val="hybridMultilevel"/>
    <w:tmpl w:val="D6D2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17533"/>
    <w:multiLevelType w:val="hybridMultilevel"/>
    <w:tmpl w:val="E2324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E736E"/>
    <w:multiLevelType w:val="hybridMultilevel"/>
    <w:tmpl w:val="3E0E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5"/>
  </w:num>
  <w:num w:numId="3" w16cid:durableId="1316374630">
    <w:abstractNumId w:val="1"/>
  </w:num>
  <w:num w:numId="4" w16cid:durableId="284309723">
    <w:abstractNumId w:val="3"/>
  </w:num>
  <w:num w:numId="5" w16cid:durableId="1451242494">
    <w:abstractNumId w:val="2"/>
  </w:num>
  <w:num w:numId="6" w16cid:durableId="467355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105E39"/>
    <w:rsid w:val="00132AE5"/>
    <w:rsid w:val="00155315"/>
    <w:rsid w:val="00247C60"/>
    <w:rsid w:val="00256963"/>
    <w:rsid w:val="00257C8B"/>
    <w:rsid w:val="002E3AA3"/>
    <w:rsid w:val="00317356"/>
    <w:rsid w:val="00335EA4"/>
    <w:rsid w:val="0034503D"/>
    <w:rsid w:val="003458CE"/>
    <w:rsid w:val="00354C31"/>
    <w:rsid w:val="00374916"/>
    <w:rsid w:val="00375B20"/>
    <w:rsid w:val="00386D01"/>
    <w:rsid w:val="004049E7"/>
    <w:rsid w:val="00462B90"/>
    <w:rsid w:val="00473265"/>
    <w:rsid w:val="004828A0"/>
    <w:rsid w:val="004B1338"/>
    <w:rsid w:val="004B69C7"/>
    <w:rsid w:val="004D193B"/>
    <w:rsid w:val="004E00D9"/>
    <w:rsid w:val="004F4CE8"/>
    <w:rsid w:val="004F5C81"/>
    <w:rsid w:val="0053222C"/>
    <w:rsid w:val="005469BD"/>
    <w:rsid w:val="00547B45"/>
    <w:rsid w:val="00550B17"/>
    <w:rsid w:val="005854B8"/>
    <w:rsid w:val="00640AC4"/>
    <w:rsid w:val="0065012F"/>
    <w:rsid w:val="0068043B"/>
    <w:rsid w:val="00681CA7"/>
    <w:rsid w:val="006A285C"/>
    <w:rsid w:val="0071496C"/>
    <w:rsid w:val="00756C5D"/>
    <w:rsid w:val="008235E8"/>
    <w:rsid w:val="00851DCA"/>
    <w:rsid w:val="008773DF"/>
    <w:rsid w:val="008A4F95"/>
    <w:rsid w:val="008B01BA"/>
    <w:rsid w:val="008B44EB"/>
    <w:rsid w:val="008B50A0"/>
    <w:rsid w:val="008C0C35"/>
    <w:rsid w:val="008C22AD"/>
    <w:rsid w:val="008C2633"/>
    <w:rsid w:val="008E3D8D"/>
    <w:rsid w:val="008F2F93"/>
    <w:rsid w:val="009010B0"/>
    <w:rsid w:val="00906B39"/>
    <w:rsid w:val="00920AD9"/>
    <w:rsid w:val="00963443"/>
    <w:rsid w:val="009C374A"/>
    <w:rsid w:val="009F4EA0"/>
    <w:rsid w:val="00B026E8"/>
    <w:rsid w:val="00B46A60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92AFA"/>
    <w:rsid w:val="00CE53FE"/>
    <w:rsid w:val="00D249CE"/>
    <w:rsid w:val="00D716AD"/>
    <w:rsid w:val="00DB7929"/>
    <w:rsid w:val="00DD1BB3"/>
    <w:rsid w:val="00E04F83"/>
    <w:rsid w:val="00E404A4"/>
    <w:rsid w:val="00E612FF"/>
    <w:rsid w:val="00EB1B31"/>
    <w:rsid w:val="00F03D15"/>
    <w:rsid w:val="00F6297C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purl.org/dc/elements/1.1/"/>
    <ds:schemaRef ds:uri="http://purl.org/dc/dcmitype/"/>
    <ds:schemaRef ds:uri="http://schemas.microsoft.com/office/infopath/2007/PartnerControls"/>
    <ds:schemaRef ds:uri="9c8a2b7b-0bee-4c48-b0a6-23db8982d3bc"/>
    <ds:schemaRef ds:uri="6911e96c-4cc4-42d5-8e43-f93924cf6a05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cab52c9b-ab33-4221-8af9-54f8f2b86a80"/>
  </ds:schemaRefs>
</ds:datastoreItem>
</file>

<file path=customXml/itemProps3.xml><?xml version="1.0" encoding="utf-8"?>
<ds:datastoreItem xmlns:ds="http://schemas.openxmlformats.org/officeDocument/2006/customXml" ds:itemID="{47B82566-C261-45D2-B3AC-072B3EB1E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6</cp:revision>
  <dcterms:created xsi:type="dcterms:W3CDTF">2025-03-01T03:20:00Z</dcterms:created>
  <dcterms:modified xsi:type="dcterms:W3CDTF">2025-08-08T05:15:00Z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