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39"/>
      </w:tblGrid>
      <w:tr w:rsidR="002B7FC8" w:rsidRPr="0003525D" w14:paraId="5A4DE250" w14:textId="77777777" w:rsidTr="007D27B8">
        <w:tc>
          <w:tcPr>
            <w:tcW w:w="8639" w:type="dxa"/>
          </w:tcPr>
          <w:p w14:paraId="5A4DE24F" w14:textId="1095B01D" w:rsidR="002B7FC8" w:rsidRPr="0022655E" w:rsidRDefault="0022655E" w:rsidP="0022655E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22655E">
              <w:rPr>
                <w:rFonts w:ascii="Arial" w:hAnsi="Arial" w:cs="Arial"/>
                <w:b/>
                <w:color w:val="0A1931"/>
                <w:sz w:val="22"/>
                <w:szCs w:val="22"/>
                <w:lang w:val="en-US"/>
              </w:rPr>
              <w:t xml:space="preserve">Professional literacy on health promotion and equity </w:t>
            </w:r>
          </w:p>
        </w:tc>
      </w:tr>
      <w:tr w:rsidR="002B7FC8" w:rsidRPr="0003525D" w14:paraId="5A4DE264" w14:textId="77777777" w:rsidTr="007D27B8">
        <w:trPr>
          <w:trHeight w:val="7663"/>
        </w:trPr>
        <w:tc>
          <w:tcPr>
            <w:tcW w:w="8639" w:type="dxa"/>
          </w:tcPr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7" w14:textId="52F974AD" w:rsidR="00DA7A71" w:rsidRDefault="00FC5CD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Developing competencies</w:t>
            </w:r>
            <w:r w:rsidR="0022655E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through profe</w:t>
            </w:r>
            <w:r w:rsidR="0022655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ssional literacy on</w:t>
            </w:r>
            <w:r w:rsidR="0022655E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health promotion and equity is a contemporary challenge</w:t>
            </w:r>
            <w:r w:rsidR="0007082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and</w:t>
            </w:r>
            <w:r w:rsidR="0022655E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 critic</w:t>
            </w:r>
            <w:r w:rsidR="007A12D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al factor for the </w:t>
            </w:r>
            <w:r w:rsidR="0022655E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development </w:t>
            </w:r>
            <w:r w:rsidR="007A12D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and implementation </w:t>
            </w:r>
            <w:r w:rsidR="0022655E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of </w:t>
            </w:r>
            <w:r w:rsidR="0007082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effective actions</w:t>
            </w:r>
            <w:r w:rsidR="00A3339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 T</w:t>
            </w:r>
            <w:r w:rsidR="0022655E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his research </w:t>
            </w:r>
            <w:r w:rsidR="00A3339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aimed</w:t>
            </w:r>
            <w:r w:rsidR="0022655E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to analyze p</w:t>
            </w:r>
            <w:r w:rsidR="007A12D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rofessional liter</w:t>
            </w:r>
            <w:r w:rsidR="00E37A4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acy</w:t>
            </w:r>
            <w:r w:rsidR="007A12D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o</w:t>
            </w:r>
            <w:r w:rsidR="0022655E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n health promotion and equity </w:t>
            </w:r>
            <w:r w:rsidR="00EB07D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experiences </w:t>
            </w:r>
            <w:r w:rsidR="0022655E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in </w:t>
            </w:r>
            <w:r w:rsidR="007A12D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under</w:t>
            </w:r>
            <w:r w:rsidR="007A12D1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graduation</w:t>
            </w:r>
            <w:r w:rsidR="0071313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training and in </w:t>
            </w:r>
            <w:r w:rsidR="001A7EA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primary health care (PHC) practices</w:t>
            </w:r>
            <w:r w:rsidR="0022655E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14:paraId="4564C7A6" w14:textId="77777777" w:rsidR="00A33305" w:rsidRDefault="00A33305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C" w14:textId="13750021" w:rsidR="00DA7A71" w:rsidRDefault="00C66A6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An exploratory </w:t>
            </w:r>
            <w:r w:rsidR="00DF744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mixed-method </w:t>
            </w:r>
            <w:r w:rsidR="007A12D1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study </w:t>
            </w:r>
            <w:r w:rsidR="0007082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encompasses</w:t>
            </w:r>
            <w:r w:rsidR="00D54F4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3 phases: </w:t>
            </w:r>
            <w:r w:rsidR="007A12D1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1. </w:t>
            </w:r>
            <w:r w:rsidR="00D54F4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Systematization of </w:t>
            </w:r>
            <w:r w:rsidR="00EB07D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the </w:t>
            </w:r>
            <w:r w:rsidR="00D54F4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experiences using d</w:t>
            </w:r>
            <w:r w:rsidR="007A12D1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ocumental themat</w:t>
            </w:r>
            <w:r w:rsidR="00E60F8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ic analysis </w:t>
            </w:r>
            <w:r w:rsidR="007A12D1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of </w:t>
            </w:r>
            <w:r w:rsidR="0082572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reports</w:t>
            </w:r>
            <w:r w:rsidR="00B8227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E2289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from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</w:t>
            </w:r>
            <w:r w:rsidR="00EB07D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1036B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undergraduation </w:t>
            </w:r>
            <w:r w:rsidR="00D54F4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training </w:t>
            </w:r>
            <w:r w:rsidR="006B610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using</w:t>
            </w:r>
            <w:r w:rsidR="007A12D1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Challenge Based Learning app</w:t>
            </w:r>
            <w:r w:rsidR="001036B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roach, and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reports </w:t>
            </w:r>
            <w:r w:rsidR="007A12D1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from a Group of Good Practices in Health Promotion created by </w:t>
            </w:r>
            <w:r w:rsidR="001036B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PHC </w:t>
            </w:r>
            <w:r w:rsidR="00D54F4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professionals.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 An</w:t>
            </w:r>
            <w:r w:rsidR="00EE4BA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alysis of the </w:t>
            </w:r>
            <w:r w:rsidR="00A3339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perception of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students and professionals </w:t>
            </w:r>
            <w:r w:rsidR="005730E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about their </w:t>
            </w:r>
            <w:r w:rsidR="007A12D1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competencies for hea</w:t>
            </w:r>
            <w:r w:rsidR="00A3339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lth promotion and equity using</w:t>
            </w:r>
            <w:r w:rsidR="007A12D1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 structured quest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ionnaire exploring</w:t>
            </w:r>
            <w:r w:rsidR="007A12D1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dimensions of professional literacy in public h</w:t>
            </w:r>
            <w:r w:rsidR="00A8555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ealth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(</w:t>
            </w:r>
            <w:r w:rsidR="007A12D1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conceptual basis, critical capacity</w:t>
            </w:r>
            <w:r w:rsidR="00A3339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</w:t>
            </w:r>
            <w:r w:rsidR="007A12D1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and empowerment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) and</w:t>
            </w:r>
            <w:r w:rsidR="007A12D1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health</w:t>
            </w:r>
            <w:r w:rsidR="00A8555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promotion competencies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(</w:t>
            </w:r>
            <w:r w:rsidR="006D62B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enable change, advocate</w:t>
            </w:r>
            <w:r w:rsidR="007A12D1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for health</w:t>
            </w:r>
            <w:r w:rsidR="005730E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r w:rsidR="006D62B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mediate through partnership, communication, lea</w:t>
            </w:r>
            <w:r w:rsidR="005730E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dership,</w:t>
            </w:r>
            <w:r w:rsidR="006D62B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assessment</w:t>
            </w:r>
            <w:r w:rsidR="005730E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planning, im</w:t>
            </w:r>
            <w:r w:rsidR="006D62B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plementation, evaluation</w:t>
            </w:r>
            <w:r w:rsidR="005730E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and research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)</w:t>
            </w:r>
            <w:r w:rsidR="005730E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For each listed </w:t>
            </w:r>
            <w:r w:rsidR="005A795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competency</w:t>
            </w:r>
            <w:r w:rsidR="007A12D1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the respondent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</w:t>
            </w:r>
            <w:r w:rsidR="007A12D1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should in</w:t>
            </w:r>
            <w:r w:rsidR="00E05B1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dicate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their level of qualification and need for training. </w:t>
            </w:r>
            <w:r w:rsidR="00FC7C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The result scores were </w:t>
            </w:r>
            <w:r w:rsidR="007A12D1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analyzed </w:t>
            </w:r>
            <w:r w:rsidR="00FC7C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by</w:t>
            </w:r>
            <w:r w:rsidR="0092656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frequency distribution. </w:t>
            </w:r>
            <w:r w:rsidR="007A12D1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3. </w:t>
            </w:r>
            <w:r w:rsidR="00700F6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Focus group with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PHC </w:t>
            </w:r>
            <w:r w:rsidR="007A12D1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professionals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was used to explor</w:t>
            </w:r>
            <w:r w:rsidR="007D27B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opportunities for </w:t>
            </w:r>
            <w:r w:rsidR="007D27B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professional literacy on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health promotion and equity</w:t>
            </w:r>
            <w:r w:rsidR="007A12D1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14:paraId="464C0239" w14:textId="77777777" w:rsidR="00A33305" w:rsidRDefault="00A33305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089DEF63" w14:textId="29B6C311" w:rsidR="004B7D91" w:rsidRDefault="00FC7C3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 s</w:t>
            </w:r>
            <w:r w:rsidR="00700F6A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tudents </w:t>
            </w:r>
            <w:r w:rsidR="00700F6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considered themselves</w:t>
            </w:r>
            <w:r w:rsidR="007A68E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7D27B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more </w:t>
            </w:r>
            <w:r w:rsidR="007A68E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competent </w:t>
            </w:r>
            <w:r w:rsidR="00700F6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to support the </w:t>
            </w:r>
            <w:r w:rsidR="00700F6A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needs</w:t>
            </w:r>
            <w:r w:rsidR="00700F6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assessment</w:t>
            </w:r>
            <w:r w:rsidR="00DF744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r w:rsidR="00700F6A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prioritization </w:t>
            </w:r>
            <w:r w:rsidR="007A68E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of heal</w:t>
            </w:r>
            <w:r w:rsidR="00DF744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 promoti</w:t>
            </w:r>
            <w:bookmarkStart w:id="0" w:name="_GoBack"/>
            <w:bookmarkEnd w:id="0"/>
            <w:r w:rsidR="00DF744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on actions, and</w:t>
            </w:r>
            <w:r w:rsidR="007A68E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to enable</w:t>
            </w:r>
            <w:r w:rsidR="00700F6A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changes on community actions. However, they perceived themselves less competent and </w:t>
            </w:r>
            <w:r w:rsidR="007A68E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with more need for</w:t>
            </w:r>
            <w:r w:rsidR="00A2196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training </w:t>
            </w:r>
            <w:r w:rsidR="005A4BD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 health</w:t>
            </w:r>
            <w:r w:rsidR="009E328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advocacy, </w:t>
            </w:r>
            <w:r w:rsidR="00700F6A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political action</w:t>
            </w:r>
            <w:r w:rsidR="009E328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and partnership leading </w:t>
            </w:r>
            <w:r w:rsidR="00700F6A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to promote health and equity</w:t>
            </w:r>
            <w:r w:rsidR="009E328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 The PHC</w:t>
            </w:r>
            <w:r w:rsidR="00700F6A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profes</w:t>
            </w:r>
            <w:r w:rsidR="005A4BD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sionals</w:t>
            </w:r>
            <w:r w:rsidR="00A8628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AA72A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perceived </w:t>
            </w:r>
            <w:r w:rsidR="00A8628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themselves</w:t>
            </w:r>
            <w:r w:rsidR="009E328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with competencies</w:t>
            </w:r>
            <w:r w:rsidR="00700F6A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to develop strategies for health promotion </w:t>
            </w:r>
            <w:r w:rsidR="00AA72A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and equity, although stressed</w:t>
            </w:r>
            <w:r w:rsidR="00A3330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the need for more knowledge and training</w:t>
            </w:r>
            <w:r w:rsidR="00700F6A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to </w:t>
            </w:r>
            <w:r w:rsidR="00FC5CD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support</w:t>
            </w:r>
            <w:r w:rsidR="00A3330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community </w:t>
            </w:r>
            <w:r w:rsidR="00700F6A"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participation and empowerment</w:t>
            </w:r>
            <w:r w:rsidR="00A8628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14:paraId="6CFE1328" w14:textId="77777777" w:rsidR="00A33305" w:rsidRDefault="00A33305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5FC6DAA" w14:textId="2DA15864" w:rsidR="00192D3D" w:rsidRPr="00192D3D" w:rsidRDefault="00A86287" w:rsidP="00FC5CD8">
            <w:pPr>
              <w:jc w:val="both"/>
              <w:rPr>
                <w:lang w:val="en-US" w:eastAsia="pt-BR"/>
              </w:rPr>
            </w:pPr>
            <w:r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The analyzed </w:t>
            </w:r>
            <w:r w:rsidR="00C417C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experiences</w:t>
            </w:r>
            <w:r w:rsidR="001D6E4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9774D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have shown to be effective</w:t>
            </w:r>
            <w:r w:rsidRPr="00A671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processes for </w:t>
            </w:r>
            <w:r w:rsidR="009774D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 development of health promotion and equity competencies by health professionals</w:t>
            </w:r>
            <w:r w:rsidR="00192D3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. Developing political and community empowerment competencies seem to be </w:t>
            </w:r>
            <w:r w:rsidR="00FC5CD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 biggest</w:t>
            </w:r>
            <w:r w:rsidR="00192D3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challenge in professional literacy on health promotion and equity.</w:t>
            </w:r>
          </w:p>
          <w:p w14:paraId="24B8CD62" w14:textId="3609833C" w:rsidR="004B7D91" w:rsidRPr="00C417CF" w:rsidRDefault="004B7D91" w:rsidP="00C417CF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3CDEB4A9" w14:textId="7E7443A3" w:rsidR="004B7D91" w:rsidRPr="00C417CF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C417C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C417CF">
              <w:rPr>
                <w:rFonts w:ascii="Arial" w:hAnsi="Arial" w:cs="Arial"/>
                <w:sz w:val="22"/>
                <w:szCs w:val="22"/>
              </w:rPr>
              <w:t>health literacy; health promotion; equity; competencies</w:t>
            </w: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082C"/>
    <w:rsid w:val="00077988"/>
    <w:rsid w:val="0008349E"/>
    <w:rsid w:val="000C05CE"/>
    <w:rsid w:val="000D03E3"/>
    <w:rsid w:val="001036BE"/>
    <w:rsid w:val="00131D1E"/>
    <w:rsid w:val="00192D3D"/>
    <w:rsid w:val="001A5B6B"/>
    <w:rsid w:val="001A7EA1"/>
    <w:rsid w:val="001B34D9"/>
    <w:rsid w:val="001C3A37"/>
    <w:rsid w:val="001D6E42"/>
    <w:rsid w:val="00211765"/>
    <w:rsid w:val="0022655E"/>
    <w:rsid w:val="00230B21"/>
    <w:rsid w:val="00234EAA"/>
    <w:rsid w:val="00242808"/>
    <w:rsid w:val="00256E9D"/>
    <w:rsid w:val="00294265"/>
    <w:rsid w:val="002B7FC8"/>
    <w:rsid w:val="002E41B7"/>
    <w:rsid w:val="002F1EEF"/>
    <w:rsid w:val="002F34DB"/>
    <w:rsid w:val="00317FFE"/>
    <w:rsid w:val="00363AF7"/>
    <w:rsid w:val="003A6236"/>
    <w:rsid w:val="003B15A7"/>
    <w:rsid w:val="003F596D"/>
    <w:rsid w:val="004041A3"/>
    <w:rsid w:val="00490208"/>
    <w:rsid w:val="004B5B95"/>
    <w:rsid w:val="004B7D91"/>
    <w:rsid w:val="004C45A1"/>
    <w:rsid w:val="004C77A3"/>
    <w:rsid w:val="004E345D"/>
    <w:rsid w:val="00564331"/>
    <w:rsid w:val="005730EE"/>
    <w:rsid w:val="00590824"/>
    <w:rsid w:val="005A4BD5"/>
    <w:rsid w:val="005A7958"/>
    <w:rsid w:val="005F7DC7"/>
    <w:rsid w:val="006605DB"/>
    <w:rsid w:val="00663BFF"/>
    <w:rsid w:val="006B610F"/>
    <w:rsid w:val="006C6E32"/>
    <w:rsid w:val="006D62B5"/>
    <w:rsid w:val="00700F6A"/>
    <w:rsid w:val="0070252B"/>
    <w:rsid w:val="0071313F"/>
    <w:rsid w:val="00714C46"/>
    <w:rsid w:val="00771BE9"/>
    <w:rsid w:val="007A12D1"/>
    <w:rsid w:val="007A2A9C"/>
    <w:rsid w:val="007A68E6"/>
    <w:rsid w:val="007D27B8"/>
    <w:rsid w:val="007E61BA"/>
    <w:rsid w:val="0082392D"/>
    <w:rsid w:val="0082572E"/>
    <w:rsid w:val="008874BF"/>
    <w:rsid w:val="008A3660"/>
    <w:rsid w:val="008C05AC"/>
    <w:rsid w:val="008C05C1"/>
    <w:rsid w:val="008C3F0A"/>
    <w:rsid w:val="00926563"/>
    <w:rsid w:val="00932377"/>
    <w:rsid w:val="009579B1"/>
    <w:rsid w:val="009774D1"/>
    <w:rsid w:val="009B4BFF"/>
    <w:rsid w:val="009B7881"/>
    <w:rsid w:val="009E3285"/>
    <w:rsid w:val="00A112C8"/>
    <w:rsid w:val="00A1780F"/>
    <w:rsid w:val="00A21960"/>
    <w:rsid w:val="00A33305"/>
    <w:rsid w:val="00A33393"/>
    <w:rsid w:val="00A65C39"/>
    <w:rsid w:val="00A85555"/>
    <w:rsid w:val="00A86287"/>
    <w:rsid w:val="00AA1598"/>
    <w:rsid w:val="00AA5B46"/>
    <w:rsid w:val="00AA72AB"/>
    <w:rsid w:val="00AB42C9"/>
    <w:rsid w:val="00B12CD1"/>
    <w:rsid w:val="00B20967"/>
    <w:rsid w:val="00B766BF"/>
    <w:rsid w:val="00B8227E"/>
    <w:rsid w:val="00BC5CBE"/>
    <w:rsid w:val="00C211D2"/>
    <w:rsid w:val="00C417CF"/>
    <w:rsid w:val="00C467D7"/>
    <w:rsid w:val="00C66A64"/>
    <w:rsid w:val="00C73E89"/>
    <w:rsid w:val="00C84789"/>
    <w:rsid w:val="00C978A6"/>
    <w:rsid w:val="00CA0DE6"/>
    <w:rsid w:val="00CB2597"/>
    <w:rsid w:val="00CC5CF2"/>
    <w:rsid w:val="00CD0335"/>
    <w:rsid w:val="00CD0904"/>
    <w:rsid w:val="00CE496D"/>
    <w:rsid w:val="00CE5D57"/>
    <w:rsid w:val="00D54F4C"/>
    <w:rsid w:val="00D71EFE"/>
    <w:rsid w:val="00DA45EE"/>
    <w:rsid w:val="00DA7A71"/>
    <w:rsid w:val="00DC2C64"/>
    <w:rsid w:val="00DE6D44"/>
    <w:rsid w:val="00DF744D"/>
    <w:rsid w:val="00E0479B"/>
    <w:rsid w:val="00E05B1F"/>
    <w:rsid w:val="00E2289A"/>
    <w:rsid w:val="00E36AD7"/>
    <w:rsid w:val="00E379B4"/>
    <w:rsid w:val="00E37A45"/>
    <w:rsid w:val="00E458B1"/>
    <w:rsid w:val="00E60F81"/>
    <w:rsid w:val="00EB07D1"/>
    <w:rsid w:val="00EE4BAB"/>
    <w:rsid w:val="00F16B61"/>
    <w:rsid w:val="00F407AD"/>
    <w:rsid w:val="00F86A0C"/>
    <w:rsid w:val="00FB626D"/>
    <w:rsid w:val="00FC5CD8"/>
    <w:rsid w:val="00FC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911e96c-4cc4-42d5-8e43-f93924cf6a05"/>
    <ds:schemaRef ds:uri="http://www.w3.org/XML/1998/namespace"/>
    <ds:schemaRef ds:uri="9c8a2b7b-0bee-4c48-b0a6-23db8982d3b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35356-DA5B-49C3-8B64-2F27F7284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2112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2018-09-14T04:51:00Z</dcterms:created>
  <dcterms:modified xsi:type="dcterms:W3CDTF">2018-09-14T04:51:00Z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