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22AC" w14:textId="1295B8CE" w:rsidR="007E42DE" w:rsidRPr="009F0908" w:rsidRDefault="00E93131" w:rsidP="00E93131">
      <w:pPr>
        <w:rPr>
          <w:rFonts w:ascii="Arial" w:hAnsi="Arial" w:cs="Arial"/>
          <w:sz w:val="22"/>
          <w:szCs w:val="22"/>
        </w:rPr>
      </w:pPr>
      <w:r w:rsidRPr="004B7BA2">
        <w:rPr>
          <w:rFonts w:ascii="Arial" w:hAnsi="Arial" w:cs="Arial"/>
          <w:b/>
          <w:bCs/>
          <w:sz w:val="22"/>
          <w:szCs w:val="22"/>
        </w:rPr>
        <w:t xml:space="preserve">Ketone Profiles in Free-living People with Type 1 Diabetes using Continuous Ketone Monitoring </w:t>
      </w:r>
      <w:bookmarkStart w:id="0" w:name="_Hlk193738896"/>
    </w:p>
    <w:p w14:paraId="6CB69E1E" w14:textId="7C95902F" w:rsidR="00E93131" w:rsidRPr="004B7BA2" w:rsidRDefault="009F0908" w:rsidP="00E931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  <w:r w:rsidR="00E93131" w:rsidRPr="004B7BA2">
        <w:rPr>
          <w:rFonts w:ascii="Arial" w:hAnsi="Arial" w:cs="Arial"/>
          <w:b/>
          <w:bCs/>
          <w:sz w:val="22"/>
          <w:szCs w:val="22"/>
        </w:rPr>
        <w:t xml:space="preserve">ims: </w:t>
      </w:r>
      <w:bookmarkEnd w:id="0"/>
      <w:r w:rsidR="00F2274A">
        <w:rPr>
          <w:rFonts w:ascii="Arial" w:hAnsi="Arial" w:cs="Arial"/>
          <w:sz w:val="22"/>
          <w:szCs w:val="22"/>
        </w:rPr>
        <w:t>To</w:t>
      </w:r>
      <w:r w:rsidR="00E93131" w:rsidRPr="004B7BA2">
        <w:rPr>
          <w:rFonts w:ascii="Arial" w:hAnsi="Arial" w:cs="Arial"/>
          <w:sz w:val="22"/>
          <w:szCs w:val="22"/>
        </w:rPr>
        <w:t xml:space="preserve"> profile ketone levels in free-living people with type 1 diabetes (T1D)</w:t>
      </w:r>
      <w:r w:rsidR="00F2274A">
        <w:rPr>
          <w:rFonts w:ascii="Arial" w:hAnsi="Arial" w:cs="Arial"/>
          <w:sz w:val="22"/>
          <w:szCs w:val="22"/>
        </w:rPr>
        <w:t>.</w:t>
      </w:r>
      <w:r w:rsidR="00C22D63" w:rsidRPr="004B7BA2">
        <w:rPr>
          <w:rFonts w:ascii="Arial" w:hAnsi="Arial" w:cs="Arial"/>
          <w:sz w:val="22"/>
          <w:szCs w:val="22"/>
        </w:rPr>
        <w:t xml:space="preserve"> </w:t>
      </w:r>
      <w:r w:rsidR="00E93131" w:rsidRPr="004B7BA2">
        <w:rPr>
          <w:rFonts w:ascii="Arial" w:hAnsi="Arial" w:cs="Arial"/>
          <w:sz w:val="22"/>
          <w:szCs w:val="22"/>
        </w:rPr>
        <w:t xml:space="preserve"> </w:t>
      </w:r>
    </w:p>
    <w:p w14:paraId="34DCE82C" w14:textId="28DA1A5D" w:rsidR="00E93131" w:rsidRPr="004B7BA2" w:rsidRDefault="00E93131" w:rsidP="00E93131">
      <w:pPr>
        <w:rPr>
          <w:rFonts w:ascii="Arial" w:hAnsi="Arial" w:cs="Arial"/>
          <w:sz w:val="22"/>
          <w:szCs w:val="22"/>
        </w:rPr>
      </w:pPr>
      <w:bookmarkStart w:id="1" w:name="_Hlk193738902"/>
      <w:r w:rsidRPr="004B7BA2">
        <w:rPr>
          <w:rFonts w:ascii="Arial" w:hAnsi="Arial" w:cs="Arial"/>
          <w:b/>
          <w:bCs/>
          <w:sz w:val="22"/>
          <w:szCs w:val="22"/>
        </w:rPr>
        <w:t xml:space="preserve">Methods: </w:t>
      </w:r>
      <w:bookmarkEnd w:id="1"/>
      <w:r w:rsidR="00791961">
        <w:rPr>
          <w:rFonts w:ascii="Arial" w:hAnsi="Arial" w:cs="Arial"/>
          <w:sz w:val="22"/>
          <w:szCs w:val="22"/>
        </w:rPr>
        <w:t>D</w:t>
      </w:r>
      <w:r w:rsidRPr="004B7BA2">
        <w:rPr>
          <w:rFonts w:ascii="Arial" w:hAnsi="Arial" w:cs="Arial"/>
          <w:sz w:val="22"/>
          <w:szCs w:val="22"/>
        </w:rPr>
        <w:t xml:space="preserve">emographic, anthropometric, HbA1c and </w:t>
      </w:r>
      <w:r w:rsidR="000037E2" w:rsidRPr="004B7BA2">
        <w:rPr>
          <w:rFonts w:ascii="Arial" w:hAnsi="Arial" w:cs="Arial"/>
          <w:sz w:val="22"/>
          <w:szCs w:val="22"/>
        </w:rPr>
        <w:t>continuous glucose monitor (</w:t>
      </w:r>
      <w:r w:rsidRPr="004B7BA2">
        <w:rPr>
          <w:rFonts w:ascii="Arial" w:hAnsi="Arial" w:cs="Arial"/>
          <w:sz w:val="22"/>
          <w:szCs w:val="22"/>
        </w:rPr>
        <w:t>CGM</w:t>
      </w:r>
      <w:r w:rsidR="000037E2" w:rsidRPr="004B7BA2">
        <w:rPr>
          <w:rFonts w:ascii="Arial" w:hAnsi="Arial" w:cs="Arial"/>
          <w:sz w:val="22"/>
          <w:szCs w:val="22"/>
        </w:rPr>
        <w:t xml:space="preserve">, </w:t>
      </w:r>
      <w:r w:rsidRPr="004B7BA2">
        <w:rPr>
          <w:rFonts w:ascii="Arial" w:hAnsi="Arial" w:cs="Arial"/>
          <w:sz w:val="22"/>
          <w:szCs w:val="22"/>
        </w:rPr>
        <w:t>Abbott Freestyle Libre 2) data,</w:t>
      </w:r>
      <w:r w:rsidR="00791961">
        <w:rPr>
          <w:rFonts w:ascii="Arial" w:hAnsi="Arial" w:cs="Arial"/>
          <w:sz w:val="22"/>
          <w:szCs w:val="22"/>
        </w:rPr>
        <w:t xml:space="preserve"> and</w:t>
      </w:r>
      <w:r w:rsidRPr="004B7BA2">
        <w:rPr>
          <w:rFonts w:ascii="Arial" w:hAnsi="Arial" w:cs="Arial"/>
          <w:sz w:val="22"/>
          <w:szCs w:val="22"/>
        </w:rPr>
        <w:t xml:space="preserve"> </w:t>
      </w:r>
      <w:r w:rsidR="001C5D0B">
        <w:rPr>
          <w:rFonts w:ascii="Arial" w:hAnsi="Arial" w:cs="Arial"/>
          <w:sz w:val="22"/>
          <w:szCs w:val="22"/>
        </w:rPr>
        <w:t xml:space="preserve">5-minutely </w:t>
      </w:r>
      <w:r w:rsidRPr="004B7BA2">
        <w:rPr>
          <w:rFonts w:ascii="Arial" w:hAnsi="Arial" w:cs="Arial"/>
          <w:sz w:val="22"/>
          <w:szCs w:val="22"/>
        </w:rPr>
        <w:t xml:space="preserve">ketone profiles were assessed </w:t>
      </w:r>
      <w:r w:rsidR="001C5D0B">
        <w:rPr>
          <w:rFonts w:ascii="Arial" w:hAnsi="Arial" w:cs="Arial"/>
          <w:sz w:val="22"/>
          <w:szCs w:val="22"/>
        </w:rPr>
        <w:t>using a</w:t>
      </w:r>
      <w:r w:rsidRPr="004B7BA2">
        <w:rPr>
          <w:rFonts w:ascii="Arial" w:hAnsi="Arial" w:cs="Arial"/>
          <w:sz w:val="22"/>
          <w:szCs w:val="22"/>
        </w:rPr>
        <w:t xml:space="preserve"> continuous ketone monitor (CKM, Abbott) during </w:t>
      </w:r>
      <w:r w:rsidR="007E42DE" w:rsidRPr="004B7BA2">
        <w:rPr>
          <w:rFonts w:ascii="Arial" w:hAnsi="Arial" w:cs="Arial"/>
          <w:sz w:val="22"/>
          <w:szCs w:val="22"/>
        </w:rPr>
        <w:t>two</w:t>
      </w:r>
      <w:r w:rsidRPr="004B7BA2">
        <w:rPr>
          <w:rFonts w:ascii="Arial" w:hAnsi="Arial" w:cs="Arial"/>
          <w:sz w:val="22"/>
          <w:szCs w:val="22"/>
        </w:rPr>
        <w:t>-week</w:t>
      </w:r>
      <w:r w:rsidR="009A7F71">
        <w:rPr>
          <w:rFonts w:ascii="Arial" w:hAnsi="Arial" w:cs="Arial"/>
          <w:sz w:val="22"/>
          <w:szCs w:val="22"/>
        </w:rPr>
        <w:t>s</w:t>
      </w:r>
      <w:r w:rsidRPr="004B7BA2">
        <w:rPr>
          <w:rFonts w:ascii="Arial" w:hAnsi="Arial" w:cs="Arial"/>
          <w:sz w:val="22"/>
          <w:szCs w:val="22"/>
        </w:rPr>
        <w:t xml:space="preserve"> run-in for the PARTNER </w:t>
      </w:r>
      <w:r w:rsidR="006B5281">
        <w:rPr>
          <w:rFonts w:ascii="Arial" w:hAnsi="Arial" w:cs="Arial"/>
          <w:sz w:val="22"/>
          <w:szCs w:val="22"/>
        </w:rPr>
        <w:t>s</w:t>
      </w:r>
      <w:r w:rsidRPr="004B7BA2">
        <w:rPr>
          <w:rFonts w:ascii="Arial" w:hAnsi="Arial" w:cs="Arial"/>
          <w:sz w:val="22"/>
          <w:szCs w:val="22"/>
        </w:rPr>
        <w:t>tudy</w:t>
      </w:r>
      <w:r w:rsidR="00DD3ED5">
        <w:rPr>
          <w:rFonts w:ascii="Arial" w:hAnsi="Arial" w:cs="Arial"/>
          <w:sz w:val="22"/>
          <w:szCs w:val="22"/>
        </w:rPr>
        <w:t xml:space="preserve"> </w:t>
      </w:r>
      <w:r w:rsidR="00DD3ED5" w:rsidRPr="00DD3ED5">
        <w:rPr>
          <w:rFonts w:ascii="Arial" w:eastAsia="DengXian" w:hAnsi="Arial" w:cs="Arial"/>
        </w:rPr>
        <w:t xml:space="preserve">(ACTRN12624000448549), </w:t>
      </w:r>
      <w:r w:rsidRPr="004B7BA2">
        <w:rPr>
          <w:rFonts w:ascii="Arial" w:hAnsi="Arial" w:cs="Arial"/>
          <w:sz w:val="22"/>
          <w:szCs w:val="22"/>
        </w:rPr>
        <w:t>w</w:t>
      </w:r>
      <w:r w:rsidR="009A7F71">
        <w:rPr>
          <w:rFonts w:ascii="Arial" w:hAnsi="Arial" w:cs="Arial"/>
          <w:sz w:val="22"/>
          <w:szCs w:val="22"/>
        </w:rPr>
        <w:t>ith</w:t>
      </w:r>
      <w:r w:rsidRPr="004B7BA2">
        <w:rPr>
          <w:rFonts w:ascii="Arial" w:hAnsi="Arial" w:cs="Arial"/>
          <w:sz w:val="22"/>
          <w:szCs w:val="22"/>
        </w:rPr>
        <w:t xml:space="preserve"> SGLT2</w:t>
      </w:r>
      <w:r w:rsidR="00E264EB">
        <w:rPr>
          <w:rFonts w:ascii="Arial" w:hAnsi="Arial" w:cs="Arial"/>
          <w:sz w:val="22"/>
          <w:szCs w:val="22"/>
        </w:rPr>
        <w:t>-</w:t>
      </w:r>
      <w:r w:rsidRPr="004B7BA2">
        <w:rPr>
          <w:rFonts w:ascii="Arial" w:hAnsi="Arial" w:cs="Arial"/>
          <w:sz w:val="22"/>
          <w:szCs w:val="22"/>
        </w:rPr>
        <w:t xml:space="preserve">inhibitor use </w:t>
      </w:r>
      <w:r w:rsidR="00E264EB">
        <w:rPr>
          <w:rFonts w:ascii="Arial" w:hAnsi="Arial" w:cs="Arial"/>
          <w:sz w:val="22"/>
          <w:szCs w:val="22"/>
        </w:rPr>
        <w:t>excluded</w:t>
      </w:r>
      <w:r w:rsidRPr="004B7BA2">
        <w:rPr>
          <w:rFonts w:ascii="Arial" w:hAnsi="Arial" w:cs="Arial"/>
          <w:sz w:val="22"/>
          <w:szCs w:val="22"/>
        </w:rPr>
        <w:t xml:space="preserve">. </w:t>
      </w:r>
    </w:p>
    <w:p w14:paraId="30E28D20" w14:textId="020B9905" w:rsidR="00CF5A48" w:rsidRDefault="00E93131" w:rsidP="00167697">
      <w:pPr>
        <w:spacing w:line="276" w:lineRule="auto"/>
        <w:rPr>
          <w:rFonts w:ascii="Arial" w:hAnsi="Arial" w:cs="Arial"/>
          <w:sz w:val="22"/>
          <w:szCs w:val="22"/>
        </w:rPr>
      </w:pPr>
      <w:bookmarkStart w:id="2" w:name="_Hlk193738910"/>
      <w:r w:rsidRPr="004B7BA2">
        <w:rPr>
          <w:rFonts w:ascii="Arial" w:hAnsi="Arial" w:cs="Arial"/>
          <w:b/>
          <w:bCs/>
          <w:sz w:val="22"/>
          <w:szCs w:val="22"/>
        </w:rPr>
        <w:t xml:space="preserve">Results: </w:t>
      </w:r>
      <w:bookmarkEnd w:id="2"/>
      <w:r w:rsidR="00F35686">
        <w:rPr>
          <w:rFonts w:ascii="Arial" w:hAnsi="Arial" w:cs="Arial"/>
          <w:sz w:val="22"/>
          <w:szCs w:val="22"/>
        </w:rPr>
        <w:t>Fifty p</w:t>
      </w:r>
      <w:r w:rsidR="004C0A02" w:rsidRPr="004B7BA2">
        <w:rPr>
          <w:rFonts w:ascii="Arial" w:hAnsi="Arial" w:cs="Arial"/>
          <w:sz w:val="22"/>
          <w:szCs w:val="22"/>
        </w:rPr>
        <w:t xml:space="preserve">articipants </w:t>
      </w:r>
      <w:r w:rsidR="006C43AA">
        <w:rPr>
          <w:rFonts w:ascii="Arial" w:hAnsi="Arial" w:cs="Arial"/>
          <w:sz w:val="22"/>
          <w:szCs w:val="22"/>
        </w:rPr>
        <w:t>31</w:t>
      </w:r>
      <w:r w:rsidR="005B622F">
        <w:rPr>
          <w:rFonts w:ascii="Arial" w:hAnsi="Arial" w:cs="Arial"/>
          <w:sz w:val="22"/>
          <w:szCs w:val="22"/>
        </w:rPr>
        <w:t xml:space="preserve"> (</w:t>
      </w:r>
      <w:r w:rsidR="006C43AA">
        <w:rPr>
          <w:rFonts w:ascii="Arial" w:hAnsi="Arial" w:cs="Arial"/>
          <w:sz w:val="22"/>
          <w:szCs w:val="22"/>
        </w:rPr>
        <w:t>62</w:t>
      </w:r>
      <w:r w:rsidR="00431FBA">
        <w:rPr>
          <w:rFonts w:ascii="Arial" w:hAnsi="Arial" w:cs="Arial"/>
          <w:sz w:val="22"/>
          <w:szCs w:val="22"/>
        </w:rPr>
        <w:t>%</w:t>
      </w:r>
      <w:r w:rsidR="005B622F">
        <w:rPr>
          <w:rFonts w:ascii="Arial" w:hAnsi="Arial" w:cs="Arial"/>
          <w:sz w:val="22"/>
          <w:szCs w:val="22"/>
        </w:rPr>
        <w:t>)</w:t>
      </w:r>
      <w:r w:rsidR="00431FBA">
        <w:rPr>
          <w:rFonts w:ascii="Arial" w:hAnsi="Arial" w:cs="Arial"/>
          <w:sz w:val="22"/>
          <w:szCs w:val="22"/>
        </w:rPr>
        <w:t xml:space="preserve"> male</w:t>
      </w:r>
      <w:r w:rsidR="005D2E25">
        <w:rPr>
          <w:rFonts w:ascii="Arial" w:hAnsi="Arial" w:cs="Arial"/>
          <w:sz w:val="22"/>
          <w:szCs w:val="22"/>
        </w:rPr>
        <w:t>s</w:t>
      </w:r>
      <w:r w:rsidR="00F70E1F">
        <w:rPr>
          <w:rFonts w:ascii="Arial" w:hAnsi="Arial" w:cs="Arial"/>
          <w:sz w:val="22"/>
          <w:szCs w:val="22"/>
        </w:rPr>
        <w:t>; mean age 50.7</w:t>
      </w:r>
      <w:r w:rsidR="00F70E1F" w:rsidRPr="004B7BA2">
        <w:rPr>
          <w:rFonts w:ascii="Arial" w:hAnsi="Arial" w:cs="Arial"/>
          <w:sz w:val="22"/>
          <w:szCs w:val="22"/>
        </w:rPr>
        <w:t xml:space="preserve"> </w:t>
      </w:r>
      <w:r w:rsidR="00F70E1F">
        <w:rPr>
          <w:rFonts w:ascii="Arial" w:hAnsi="Arial" w:cs="Arial"/>
          <w:sz w:val="22"/>
          <w:szCs w:val="22"/>
        </w:rPr>
        <w:t>[41.0</w:t>
      </w:r>
      <w:r w:rsidR="00F70E1F" w:rsidRPr="004B7BA2">
        <w:rPr>
          <w:rFonts w:ascii="Arial" w:hAnsi="Arial" w:cs="Arial"/>
          <w:sz w:val="22"/>
          <w:szCs w:val="22"/>
        </w:rPr>
        <w:t xml:space="preserve">, </w:t>
      </w:r>
      <w:r w:rsidR="00F70E1F">
        <w:rPr>
          <w:rFonts w:ascii="Arial" w:hAnsi="Arial" w:cs="Arial"/>
          <w:sz w:val="22"/>
          <w:szCs w:val="22"/>
        </w:rPr>
        <w:t>64.2</w:t>
      </w:r>
      <w:r w:rsidR="006E0D2B">
        <w:rPr>
          <w:rFonts w:ascii="Arial" w:hAnsi="Arial" w:cs="Arial"/>
          <w:sz w:val="22"/>
          <w:szCs w:val="22"/>
        </w:rPr>
        <w:t>]</w:t>
      </w:r>
      <w:r w:rsidR="00F70E1F">
        <w:rPr>
          <w:rFonts w:ascii="Arial" w:hAnsi="Arial" w:cs="Arial"/>
          <w:sz w:val="22"/>
          <w:szCs w:val="22"/>
        </w:rPr>
        <w:t xml:space="preserve"> years</w:t>
      </w:r>
      <w:r w:rsidR="006E0D2B">
        <w:rPr>
          <w:rFonts w:ascii="Arial" w:hAnsi="Arial" w:cs="Arial"/>
          <w:sz w:val="22"/>
          <w:szCs w:val="22"/>
        </w:rPr>
        <w:t>;</w:t>
      </w:r>
      <w:r w:rsidR="00067A7C">
        <w:rPr>
          <w:rFonts w:ascii="Arial" w:hAnsi="Arial" w:cs="Arial"/>
          <w:sz w:val="22"/>
          <w:szCs w:val="22"/>
        </w:rPr>
        <w:t xml:space="preserve"> </w:t>
      </w:r>
      <w:r w:rsidR="006E0D2B">
        <w:rPr>
          <w:rFonts w:ascii="Arial" w:hAnsi="Arial" w:cs="Arial"/>
          <w:sz w:val="22"/>
          <w:szCs w:val="22"/>
        </w:rPr>
        <w:t xml:space="preserve">BMI </w:t>
      </w:r>
      <w:r w:rsidR="00067A7C" w:rsidRPr="004B7BA2">
        <w:rPr>
          <w:rFonts w:ascii="Arial" w:hAnsi="Arial" w:cs="Arial"/>
          <w:sz w:val="22"/>
          <w:szCs w:val="22"/>
        </w:rPr>
        <w:t>2</w:t>
      </w:r>
      <w:r w:rsidR="00067A7C">
        <w:rPr>
          <w:rFonts w:ascii="Arial" w:hAnsi="Arial" w:cs="Arial"/>
          <w:sz w:val="22"/>
          <w:szCs w:val="22"/>
        </w:rPr>
        <w:t>8</w:t>
      </w:r>
      <w:r w:rsidR="00067A7C" w:rsidRPr="004B7BA2">
        <w:rPr>
          <w:rFonts w:ascii="Arial" w:hAnsi="Arial" w:cs="Arial"/>
          <w:sz w:val="22"/>
          <w:szCs w:val="22"/>
        </w:rPr>
        <w:t xml:space="preserve">.6 </w:t>
      </w:r>
      <w:r w:rsidR="005B622F">
        <w:rPr>
          <w:rFonts w:ascii="Arial" w:hAnsi="Arial" w:cs="Arial"/>
          <w:sz w:val="22"/>
          <w:szCs w:val="22"/>
        </w:rPr>
        <w:t>[</w:t>
      </w:r>
      <w:r w:rsidR="00067A7C" w:rsidRPr="004B7BA2">
        <w:rPr>
          <w:rFonts w:ascii="Arial" w:hAnsi="Arial" w:cs="Arial"/>
          <w:sz w:val="22"/>
          <w:szCs w:val="22"/>
        </w:rPr>
        <w:t>26</w:t>
      </w:r>
      <w:r w:rsidR="00067A7C">
        <w:rPr>
          <w:rFonts w:ascii="Arial" w:hAnsi="Arial" w:cs="Arial"/>
          <w:sz w:val="22"/>
          <w:szCs w:val="22"/>
        </w:rPr>
        <w:t>.7</w:t>
      </w:r>
      <w:r w:rsidR="00067A7C" w:rsidRPr="004B7BA2">
        <w:rPr>
          <w:rFonts w:ascii="Arial" w:hAnsi="Arial" w:cs="Arial"/>
          <w:sz w:val="22"/>
          <w:szCs w:val="22"/>
        </w:rPr>
        <w:t>, 3</w:t>
      </w:r>
      <w:r w:rsidR="00067A7C">
        <w:rPr>
          <w:rFonts w:ascii="Arial" w:hAnsi="Arial" w:cs="Arial"/>
          <w:sz w:val="22"/>
          <w:szCs w:val="22"/>
        </w:rPr>
        <w:t>2.9</w:t>
      </w:r>
      <w:r w:rsidR="005B622F">
        <w:rPr>
          <w:rFonts w:ascii="Arial" w:hAnsi="Arial" w:cs="Arial"/>
          <w:sz w:val="22"/>
          <w:szCs w:val="22"/>
        </w:rPr>
        <w:t>]</w:t>
      </w:r>
      <w:r w:rsidR="00E819AB" w:rsidRPr="00E819AB">
        <w:rPr>
          <w:rFonts w:ascii="Arial" w:hAnsi="Arial" w:cs="Arial"/>
          <w:sz w:val="22"/>
          <w:szCs w:val="22"/>
        </w:rPr>
        <w:t xml:space="preserve"> </w:t>
      </w:r>
      <w:r w:rsidR="00E819AB" w:rsidRPr="004B7BA2">
        <w:rPr>
          <w:rFonts w:ascii="Arial" w:hAnsi="Arial" w:cs="Arial"/>
          <w:sz w:val="22"/>
          <w:szCs w:val="22"/>
        </w:rPr>
        <w:t>kg/m</w:t>
      </w:r>
      <w:r w:rsidR="00E819AB" w:rsidRPr="004B7BA2">
        <w:rPr>
          <w:rFonts w:ascii="Arial" w:hAnsi="Arial" w:cs="Arial"/>
          <w:sz w:val="22"/>
          <w:szCs w:val="22"/>
          <w:vertAlign w:val="superscript"/>
        </w:rPr>
        <w:t>2</w:t>
      </w:r>
      <w:r w:rsidR="00345DDD">
        <w:rPr>
          <w:rFonts w:ascii="Arial" w:hAnsi="Arial" w:cs="Arial"/>
          <w:sz w:val="22"/>
          <w:szCs w:val="22"/>
        </w:rPr>
        <w:t>; diabetes duration</w:t>
      </w:r>
      <w:r w:rsidR="00345DDD" w:rsidRPr="00345DDD">
        <w:t xml:space="preserve"> </w:t>
      </w:r>
      <w:r w:rsidR="00345DDD" w:rsidRPr="00345DDD">
        <w:rPr>
          <w:rFonts w:ascii="Arial" w:hAnsi="Arial" w:cs="Arial"/>
          <w:sz w:val="22"/>
          <w:szCs w:val="22"/>
        </w:rPr>
        <w:t>26.5</w:t>
      </w:r>
      <w:r w:rsidR="000940F7">
        <w:rPr>
          <w:rFonts w:ascii="Arial" w:hAnsi="Arial" w:cs="Arial"/>
          <w:sz w:val="22"/>
          <w:szCs w:val="22"/>
        </w:rPr>
        <w:t xml:space="preserve"> [</w:t>
      </w:r>
      <w:r w:rsidR="00345DDD" w:rsidRPr="00345DDD">
        <w:rPr>
          <w:rFonts w:ascii="Arial" w:hAnsi="Arial" w:cs="Arial"/>
          <w:sz w:val="22"/>
          <w:szCs w:val="22"/>
        </w:rPr>
        <w:t>14.6, 37.6</w:t>
      </w:r>
      <w:r w:rsidR="000940F7">
        <w:rPr>
          <w:rFonts w:ascii="Arial" w:hAnsi="Arial" w:cs="Arial"/>
          <w:sz w:val="22"/>
          <w:szCs w:val="22"/>
        </w:rPr>
        <w:t>]</w:t>
      </w:r>
      <w:r w:rsidR="00345DDD">
        <w:rPr>
          <w:rFonts w:ascii="Arial" w:hAnsi="Arial" w:cs="Arial"/>
          <w:sz w:val="22"/>
          <w:szCs w:val="22"/>
        </w:rPr>
        <w:t xml:space="preserve"> years</w:t>
      </w:r>
      <w:r w:rsidR="000940F7">
        <w:rPr>
          <w:rFonts w:ascii="Arial" w:hAnsi="Arial" w:cs="Arial"/>
          <w:sz w:val="22"/>
          <w:szCs w:val="22"/>
        </w:rPr>
        <w:t>; to</w:t>
      </w:r>
      <w:r w:rsidR="00AC7719">
        <w:rPr>
          <w:rFonts w:ascii="Arial" w:hAnsi="Arial" w:cs="Arial"/>
          <w:sz w:val="22"/>
          <w:szCs w:val="22"/>
        </w:rPr>
        <w:t>tal daily insulin dose</w:t>
      </w:r>
      <w:r w:rsidR="007F2FC1">
        <w:rPr>
          <w:rFonts w:ascii="Arial" w:hAnsi="Arial" w:cs="Arial"/>
          <w:sz w:val="22"/>
          <w:szCs w:val="22"/>
        </w:rPr>
        <w:t xml:space="preserve"> </w:t>
      </w:r>
      <w:r w:rsidR="007F2FC1" w:rsidRPr="004B7BA2">
        <w:rPr>
          <w:rFonts w:ascii="Arial" w:hAnsi="Arial" w:cs="Arial"/>
          <w:sz w:val="22"/>
          <w:szCs w:val="22"/>
        </w:rPr>
        <w:t>5</w:t>
      </w:r>
      <w:r w:rsidR="007F2FC1">
        <w:rPr>
          <w:rFonts w:ascii="Arial" w:hAnsi="Arial" w:cs="Arial"/>
          <w:sz w:val="22"/>
          <w:szCs w:val="22"/>
        </w:rPr>
        <w:t xml:space="preserve">9.1 </w:t>
      </w:r>
      <w:r w:rsidR="00F2274A">
        <w:rPr>
          <w:rFonts w:ascii="Arial" w:hAnsi="Arial" w:cs="Arial"/>
          <w:sz w:val="22"/>
          <w:szCs w:val="22"/>
        </w:rPr>
        <w:t>[43</w:t>
      </w:r>
      <w:r w:rsidR="007F2FC1">
        <w:rPr>
          <w:rFonts w:ascii="Arial" w:hAnsi="Arial" w:cs="Arial"/>
          <w:sz w:val="22"/>
          <w:szCs w:val="22"/>
        </w:rPr>
        <w:t>.3</w:t>
      </w:r>
      <w:r w:rsidR="007F2FC1" w:rsidRPr="004B7BA2">
        <w:rPr>
          <w:rFonts w:ascii="Arial" w:hAnsi="Arial" w:cs="Arial"/>
          <w:sz w:val="22"/>
          <w:szCs w:val="22"/>
        </w:rPr>
        <w:t xml:space="preserve">, </w:t>
      </w:r>
      <w:r w:rsidR="007F2FC1">
        <w:rPr>
          <w:rFonts w:ascii="Arial" w:hAnsi="Arial" w:cs="Arial"/>
          <w:sz w:val="22"/>
          <w:szCs w:val="22"/>
        </w:rPr>
        <w:t>79.0</w:t>
      </w:r>
      <w:r w:rsidR="00F2274A">
        <w:rPr>
          <w:rFonts w:ascii="Arial" w:hAnsi="Arial" w:cs="Arial"/>
          <w:sz w:val="22"/>
          <w:szCs w:val="22"/>
        </w:rPr>
        <w:t>]</w:t>
      </w:r>
      <w:r w:rsidR="00437AE4">
        <w:rPr>
          <w:rFonts w:ascii="Arial" w:hAnsi="Arial" w:cs="Arial"/>
          <w:sz w:val="22"/>
          <w:szCs w:val="22"/>
        </w:rPr>
        <w:t xml:space="preserve"> </w:t>
      </w:r>
      <w:r w:rsidR="005B622F">
        <w:rPr>
          <w:rFonts w:ascii="Arial" w:hAnsi="Arial" w:cs="Arial"/>
          <w:sz w:val="22"/>
          <w:szCs w:val="22"/>
        </w:rPr>
        <w:t>u</w:t>
      </w:r>
      <w:r w:rsidR="00437AE4">
        <w:rPr>
          <w:rFonts w:ascii="Arial" w:hAnsi="Arial" w:cs="Arial"/>
          <w:sz w:val="22"/>
          <w:szCs w:val="22"/>
        </w:rPr>
        <w:t>nits</w:t>
      </w:r>
      <w:r w:rsidR="00345DDD">
        <w:rPr>
          <w:rFonts w:ascii="Arial" w:hAnsi="Arial" w:cs="Arial"/>
          <w:sz w:val="22"/>
          <w:szCs w:val="22"/>
        </w:rPr>
        <w:t xml:space="preserve"> ha</w:t>
      </w:r>
      <w:r w:rsidRPr="004B7BA2">
        <w:rPr>
          <w:rFonts w:ascii="Arial" w:hAnsi="Arial" w:cs="Arial"/>
          <w:sz w:val="22"/>
          <w:szCs w:val="22"/>
        </w:rPr>
        <w:t>ve been studied</w:t>
      </w:r>
      <w:r w:rsidR="008E2833" w:rsidRPr="004B7BA2">
        <w:rPr>
          <w:rFonts w:ascii="Arial" w:hAnsi="Arial" w:cs="Arial"/>
          <w:sz w:val="22"/>
          <w:szCs w:val="22"/>
        </w:rPr>
        <w:t xml:space="preserve">. </w:t>
      </w:r>
      <w:r w:rsidR="00CF5A48">
        <w:rPr>
          <w:rFonts w:ascii="Arial" w:hAnsi="Arial" w:cs="Arial"/>
          <w:sz w:val="22"/>
          <w:szCs w:val="22"/>
        </w:rPr>
        <w:t xml:space="preserve">Ketone levels of 0.6-0.9mmol/L and </w:t>
      </w:r>
      <w:r w:rsidR="00CF5A48" w:rsidRPr="004B7BA2">
        <w:rPr>
          <w:rFonts w:ascii="Arial" w:hAnsi="Arial" w:cs="Arial"/>
          <w:sz w:val="22"/>
          <w:szCs w:val="22"/>
        </w:rPr>
        <w:t>≥</w:t>
      </w:r>
      <w:r w:rsidR="00CF5A48">
        <w:rPr>
          <w:rFonts w:ascii="Arial" w:hAnsi="Arial" w:cs="Arial"/>
          <w:sz w:val="22"/>
          <w:szCs w:val="22"/>
        </w:rPr>
        <w:t xml:space="preserve">1.0mmol/L were recorded by </w:t>
      </w:r>
      <w:r w:rsidR="001802F2">
        <w:rPr>
          <w:rFonts w:ascii="Arial" w:hAnsi="Arial" w:cs="Arial"/>
          <w:sz w:val="22"/>
          <w:szCs w:val="22"/>
        </w:rPr>
        <w:t>13/50 (</w:t>
      </w:r>
      <w:r w:rsidR="00CF5A48">
        <w:rPr>
          <w:rFonts w:ascii="Arial" w:hAnsi="Arial" w:cs="Arial"/>
          <w:sz w:val="22"/>
          <w:szCs w:val="22"/>
        </w:rPr>
        <w:t>26%</w:t>
      </w:r>
      <w:r w:rsidR="001802F2">
        <w:rPr>
          <w:rFonts w:ascii="Arial" w:hAnsi="Arial" w:cs="Arial"/>
          <w:sz w:val="22"/>
          <w:szCs w:val="22"/>
        </w:rPr>
        <w:t>)</w:t>
      </w:r>
      <w:r w:rsidR="00CF5A48">
        <w:rPr>
          <w:rFonts w:ascii="Arial" w:hAnsi="Arial" w:cs="Arial"/>
          <w:sz w:val="22"/>
          <w:szCs w:val="22"/>
        </w:rPr>
        <w:t xml:space="preserve"> and</w:t>
      </w:r>
      <w:r w:rsidR="001802F2">
        <w:rPr>
          <w:rFonts w:ascii="Arial" w:hAnsi="Arial" w:cs="Arial"/>
          <w:sz w:val="22"/>
          <w:szCs w:val="22"/>
        </w:rPr>
        <w:t xml:space="preserve"> 8/50</w:t>
      </w:r>
      <w:r w:rsidR="00CF5A48">
        <w:rPr>
          <w:rFonts w:ascii="Arial" w:hAnsi="Arial" w:cs="Arial"/>
          <w:sz w:val="22"/>
          <w:szCs w:val="22"/>
        </w:rPr>
        <w:t xml:space="preserve"> </w:t>
      </w:r>
      <w:r w:rsidR="0022343E">
        <w:rPr>
          <w:rFonts w:ascii="Arial" w:hAnsi="Arial" w:cs="Arial"/>
          <w:sz w:val="22"/>
          <w:szCs w:val="22"/>
        </w:rPr>
        <w:t>(</w:t>
      </w:r>
      <w:r w:rsidR="00CF5A48">
        <w:rPr>
          <w:rFonts w:ascii="Arial" w:hAnsi="Arial" w:cs="Arial"/>
          <w:sz w:val="22"/>
          <w:szCs w:val="22"/>
        </w:rPr>
        <w:t>16%</w:t>
      </w:r>
      <w:r w:rsidR="0022343E">
        <w:rPr>
          <w:rFonts w:ascii="Arial" w:hAnsi="Arial" w:cs="Arial"/>
          <w:sz w:val="22"/>
          <w:szCs w:val="22"/>
        </w:rPr>
        <w:t>)</w:t>
      </w:r>
      <w:r w:rsidR="00CF5A48">
        <w:rPr>
          <w:rFonts w:ascii="Arial" w:hAnsi="Arial" w:cs="Arial"/>
          <w:sz w:val="22"/>
          <w:szCs w:val="22"/>
        </w:rPr>
        <w:t xml:space="preserve"> of participants respectively. </w:t>
      </w:r>
      <w:r w:rsidR="00655441" w:rsidRPr="004B7BA2">
        <w:rPr>
          <w:rFonts w:ascii="Arial" w:hAnsi="Arial" w:cs="Arial"/>
          <w:sz w:val="22"/>
          <w:szCs w:val="22"/>
        </w:rPr>
        <w:t xml:space="preserve">There </w:t>
      </w:r>
      <w:r w:rsidR="0036493A" w:rsidRPr="004B7BA2">
        <w:rPr>
          <w:rFonts w:ascii="Arial" w:hAnsi="Arial" w:cs="Arial"/>
          <w:sz w:val="22"/>
          <w:szCs w:val="22"/>
        </w:rPr>
        <w:t>were</w:t>
      </w:r>
      <w:r w:rsidR="006A555C">
        <w:rPr>
          <w:rFonts w:ascii="Arial" w:hAnsi="Arial" w:cs="Arial"/>
          <w:sz w:val="22"/>
          <w:szCs w:val="22"/>
        </w:rPr>
        <w:t xml:space="preserve"> no significant</w:t>
      </w:r>
      <w:r w:rsidR="0036493A" w:rsidRPr="004B7BA2">
        <w:rPr>
          <w:rFonts w:ascii="Arial" w:hAnsi="Arial" w:cs="Arial"/>
          <w:sz w:val="22"/>
          <w:szCs w:val="22"/>
        </w:rPr>
        <w:t xml:space="preserve"> differences </w:t>
      </w:r>
      <w:r w:rsidR="00CF5A48">
        <w:rPr>
          <w:rFonts w:ascii="Arial" w:hAnsi="Arial" w:cs="Arial"/>
          <w:sz w:val="22"/>
          <w:szCs w:val="22"/>
        </w:rPr>
        <w:t xml:space="preserve">between groups </w:t>
      </w:r>
      <w:r w:rsidR="0036493A" w:rsidRPr="004B7BA2">
        <w:rPr>
          <w:rFonts w:ascii="Arial" w:hAnsi="Arial" w:cs="Arial"/>
          <w:sz w:val="22"/>
          <w:szCs w:val="22"/>
        </w:rPr>
        <w:t xml:space="preserve">according to age, sex, </w:t>
      </w:r>
      <w:r w:rsidR="00CF5A48">
        <w:rPr>
          <w:rFonts w:ascii="Arial" w:hAnsi="Arial" w:cs="Arial"/>
          <w:sz w:val="22"/>
          <w:szCs w:val="22"/>
        </w:rPr>
        <w:t xml:space="preserve">duration of diabetes, </w:t>
      </w:r>
      <w:r w:rsidR="0036493A" w:rsidRPr="004B7BA2">
        <w:rPr>
          <w:rFonts w:ascii="Arial" w:hAnsi="Arial" w:cs="Arial"/>
          <w:sz w:val="22"/>
          <w:szCs w:val="22"/>
        </w:rPr>
        <w:t xml:space="preserve">type of insulin treatment, BMI, HbA1c and average total daily insulin doses. </w:t>
      </w:r>
      <w:r w:rsidR="002439E1">
        <w:rPr>
          <w:rFonts w:ascii="Arial" w:hAnsi="Arial" w:cs="Arial"/>
          <w:sz w:val="22"/>
          <w:szCs w:val="22"/>
        </w:rPr>
        <w:t xml:space="preserve">In those with ketones </w:t>
      </w:r>
      <w:bookmarkStart w:id="3" w:name="_Hlk198538217"/>
      <w:r w:rsidR="002439E1" w:rsidRPr="004B7BA2">
        <w:rPr>
          <w:rFonts w:ascii="Arial" w:hAnsi="Arial" w:cs="Arial"/>
          <w:sz w:val="22"/>
          <w:szCs w:val="22"/>
        </w:rPr>
        <w:t>≥</w:t>
      </w:r>
      <w:r w:rsidR="002439E1">
        <w:rPr>
          <w:rFonts w:ascii="Arial" w:hAnsi="Arial" w:cs="Arial"/>
          <w:sz w:val="22"/>
          <w:szCs w:val="22"/>
        </w:rPr>
        <w:t>1.0mmol/L</w:t>
      </w:r>
      <w:bookmarkEnd w:id="3"/>
      <w:r w:rsidR="002439E1">
        <w:rPr>
          <w:rFonts w:ascii="Arial" w:hAnsi="Arial" w:cs="Arial"/>
          <w:sz w:val="22"/>
          <w:szCs w:val="22"/>
        </w:rPr>
        <w:t>,</w:t>
      </w:r>
      <w:r w:rsidR="009B4D93">
        <w:rPr>
          <w:rFonts w:ascii="Arial" w:hAnsi="Arial" w:cs="Arial"/>
          <w:sz w:val="22"/>
          <w:szCs w:val="22"/>
        </w:rPr>
        <w:t xml:space="preserve"> </w:t>
      </w:r>
      <w:r w:rsidR="002439E1">
        <w:rPr>
          <w:rFonts w:ascii="Arial" w:hAnsi="Arial" w:cs="Arial"/>
          <w:sz w:val="22"/>
          <w:szCs w:val="22"/>
        </w:rPr>
        <w:t>7</w:t>
      </w:r>
      <w:r w:rsidR="00E73F72">
        <w:rPr>
          <w:rFonts w:ascii="Arial" w:hAnsi="Arial" w:cs="Arial"/>
          <w:sz w:val="22"/>
          <w:szCs w:val="22"/>
        </w:rPr>
        <w:t>/8 (</w:t>
      </w:r>
      <w:r w:rsidR="00193115">
        <w:rPr>
          <w:rFonts w:ascii="Arial" w:hAnsi="Arial" w:cs="Arial"/>
          <w:sz w:val="22"/>
          <w:szCs w:val="22"/>
        </w:rPr>
        <w:t>87.5%)</w:t>
      </w:r>
      <w:r w:rsidR="002439E1">
        <w:rPr>
          <w:rFonts w:ascii="Arial" w:hAnsi="Arial" w:cs="Arial"/>
          <w:sz w:val="22"/>
          <w:szCs w:val="22"/>
        </w:rPr>
        <w:t xml:space="preserve"> had T1D </w:t>
      </w:r>
      <w:r w:rsidR="002439E1" w:rsidRPr="004B7BA2">
        <w:rPr>
          <w:rFonts w:ascii="Arial" w:hAnsi="Arial" w:cs="Arial"/>
          <w:sz w:val="22"/>
          <w:szCs w:val="22"/>
        </w:rPr>
        <w:t>≥10 years</w:t>
      </w:r>
      <w:r w:rsidR="00954274">
        <w:rPr>
          <w:rFonts w:ascii="Arial" w:hAnsi="Arial" w:cs="Arial"/>
          <w:sz w:val="22"/>
          <w:szCs w:val="22"/>
        </w:rPr>
        <w:t xml:space="preserve"> and </w:t>
      </w:r>
      <w:r w:rsidR="002439E1">
        <w:rPr>
          <w:rFonts w:ascii="Arial" w:hAnsi="Arial" w:cs="Arial"/>
          <w:sz w:val="22"/>
          <w:szCs w:val="22"/>
        </w:rPr>
        <w:t xml:space="preserve">BMI </w:t>
      </w:r>
      <w:r w:rsidR="006B5281">
        <w:rPr>
          <w:rFonts w:ascii="Arial" w:hAnsi="Arial" w:cs="Arial"/>
          <w:sz w:val="22"/>
          <w:szCs w:val="22"/>
        </w:rPr>
        <w:t>&gt;25 kg/m</w:t>
      </w:r>
      <w:r w:rsidR="006B5281" w:rsidRPr="006B5281">
        <w:rPr>
          <w:rFonts w:ascii="Arial" w:hAnsi="Arial" w:cs="Arial"/>
          <w:sz w:val="22"/>
          <w:szCs w:val="22"/>
          <w:vertAlign w:val="superscript"/>
        </w:rPr>
        <w:t>2</w:t>
      </w:r>
      <w:r w:rsidR="00954274">
        <w:rPr>
          <w:rFonts w:ascii="Arial" w:hAnsi="Arial" w:cs="Arial"/>
          <w:sz w:val="22"/>
          <w:szCs w:val="22"/>
        </w:rPr>
        <w:t>, 5</w:t>
      </w:r>
      <w:r w:rsidR="00193115">
        <w:rPr>
          <w:rFonts w:ascii="Arial" w:hAnsi="Arial" w:cs="Arial"/>
          <w:sz w:val="22"/>
          <w:szCs w:val="22"/>
        </w:rPr>
        <w:t>/</w:t>
      </w:r>
      <w:r w:rsidR="00170F56">
        <w:rPr>
          <w:rFonts w:ascii="Arial" w:hAnsi="Arial" w:cs="Arial"/>
          <w:sz w:val="22"/>
          <w:szCs w:val="22"/>
        </w:rPr>
        <w:t>8 (</w:t>
      </w:r>
      <w:r w:rsidR="00FC6BCE">
        <w:rPr>
          <w:rFonts w:ascii="Arial" w:hAnsi="Arial" w:cs="Arial"/>
          <w:sz w:val="22"/>
          <w:szCs w:val="22"/>
        </w:rPr>
        <w:t>62.5%)</w:t>
      </w:r>
      <w:r w:rsidR="00954274">
        <w:rPr>
          <w:rFonts w:ascii="Arial" w:hAnsi="Arial" w:cs="Arial"/>
          <w:sz w:val="22"/>
          <w:szCs w:val="22"/>
        </w:rPr>
        <w:t xml:space="preserve"> used automated insulin delivery systems and had HbA1c &gt;7.0%</w:t>
      </w:r>
      <w:r w:rsidR="00167697">
        <w:rPr>
          <w:rFonts w:ascii="Arial" w:hAnsi="Arial" w:cs="Arial"/>
          <w:sz w:val="22"/>
          <w:szCs w:val="22"/>
        </w:rPr>
        <w:t xml:space="preserve"> (53mmol/mol)</w:t>
      </w:r>
      <w:r w:rsidR="004E0D72">
        <w:rPr>
          <w:rFonts w:ascii="Arial" w:hAnsi="Arial" w:cs="Arial"/>
          <w:sz w:val="22"/>
          <w:szCs w:val="22"/>
        </w:rPr>
        <w:t>.</w:t>
      </w:r>
      <w:r w:rsidR="00954274">
        <w:rPr>
          <w:rFonts w:ascii="Arial" w:hAnsi="Arial" w:cs="Arial"/>
          <w:sz w:val="22"/>
          <w:szCs w:val="22"/>
        </w:rPr>
        <w:t xml:space="preserve"> </w:t>
      </w:r>
      <w:r w:rsidR="006B5281">
        <w:rPr>
          <w:rFonts w:ascii="Arial" w:hAnsi="Arial" w:cs="Arial"/>
          <w:sz w:val="22"/>
          <w:szCs w:val="22"/>
        </w:rPr>
        <w:t>G</w:t>
      </w:r>
      <w:r w:rsidR="009B4D93">
        <w:rPr>
          <w:rFonts w:ascii="Arial" w:hAnsi="Arial" w:cs="Arial"/>
          <w:sz w:val="22"/>
          <w:szCs w:val="22"/>
        </w:rPr>
        <w:t xml:space="preserve">reatest time </w:t>
      </w:r>
      <w:r w:rsidR="002439E1">
        <w:rPr>
          <w:rFonts w:ascii="Arial" w:hAnsi="Arial" w:cs="Arial"/>
          <w:sz w:val="22"/>
          <w:szCs w:val="22"/>
        </w:rPr>
        <w:t xml:space="preserve">spent </w:t>
      </w:r>
      <w:r w:rsidR="006B5281">
        <w:rPr>
          <w:rFonts w:ascii="Arial" w:hAnsi="Arial" w:cs="Arial"/>
          <w:sz w:val="22"/>
          <w:szCs w:val="22"/>
        </w:rPr>
        <w:t xml:space="preserve">with ketones </w:t>
      </w:r>
      <w:r w:rsidR="006B5281" w:rsidRPr="004B7BA2">
        <w:rPr>
          <w:rFonts w:ascii="Arial" w:hAnsi="Arial" w:cs="Arial"/>
          <w:sz w:val="22"/>
          <w:szCs w:val="22"/>
        </w:rPr>
        <w:t>≥</w:t>
      </w:r>
      <w:r w:rsidR="006B5281">
        <w:rPr>
          <w:rFonts w:ascii="Arial" w:hAnsi="Arial" w:cs="Arial"/>
          <w:sz w:val="22"/>
          <w:szCs w:val="22"/>
        </w:rPr>
        <w:t>1.0mmol/L was</w:t>
      </w:r>
      <w:r w:rsidR="002439E1">
        <w:rPr>
          <w:rFonts w:ascii="Arial" w:hAnsi="Arial" w:cs="Arial"/>
          <w:sz w:val="22"/>
          <w:szCs w:val="22"/>
        </w:rPr>
        <w:t xml:space="preserve"> </w:t>
      </w:r>
      <w:r w:rsidR="009B4D93">
        <w:rPr>
          <w:rFonts w:ascii="Arial" w:hAnsi="Arial" w:cs="Arial"/>
          <w:sz w:val="22"/>
          <w:szCs w:val="22"/>
        </w:rPr>
        <w:t xml:space="preserve">2.4% and the highest ketone level recorded </w:t>
      </w:r>
      <w:r w:rsidR="00954274">
        <w:rPr>
          <w:rFonts w:ascii="Arial" w:hAnsi="Arial" w:cs="Arial"/>
          <w:sz w:val="22"/>
          <w:szCs w:val="22"/>
        </w:rPr>
        <w:t xml:space="preserve">was </w:t>
      </w:r>
      <w:r w:rsidR="009B4D93">
        <w:rPr>
          <w:rFonts w:ascii="Arial" w:hAnsi="Arial" w:cs="Arial"/>
          <w:sz w:val="22"/>
          <w:szCs w:val="22"/>
        </w:rPr>
        <w:t>1.4mmol/L.</w:t>
      </w:r>
      <w:r w:rsidR="002439E1">
        <w:rPr>
          <w:rFonts w:ascii="Arial" w:hAnsi="Arial" w:cs="Arial"/>
          <w:sz w:val="22"/>
          <w:szCs w:val="22"/>
        </w:rPr>
        <w:t xml:space="preserve"> </w:t>
      </w:r>
    </w:p>
    <w:p w14:paraId="2F9BE9E4" w14:textId="32D13792" w:rsidR="00B404DF" w:rsidRDefault="00E93131" w:rsidP="00E93131">
      <w:pPr>
        <w:rPr>
          <w:rFonts w:ascii="Arial" w:hAnsi="Arial" w:cs="Arial"/>
          <w:sz w:val="22"/>
          <w:szCs w:val="22"/>
        </w:rPr>
      </w:pPr>
      <w:bookmarkStart w:id="4" w:name="_Hlk193738915"/>
      <w:r w:rsidRPr="004B7BA2">
        <w:rPr>
          <w:rFonts w:ascii="Arial" w:hAnsi="Arial" w:cs="Arial"/>
          <w:b/>
          <w:bCs/>
          <w:sz w:val="22"/>
          <w:szCs w:val="22"/>
        </w:rPr>
        <w:t xml:space="preserve">Conclusion: </w:t>
      </w:r>
      <w:bookmarkEnd w:id="4"/>
      <w:r w:rsidR="00D97C3A">
        <w:rPr>
          <w:rFonts w:ascii="Arial" w:hAnsi="Arial" w:cs="Arial"/>
          <w:sz w:val="22"/>
          <w:szCs w:val="22"/>
        </w:rPr>
        <w:t>The m</w:t>
      </w:r>
      <w:r w:rsidR="0083730B">
        <w:rPr>
          <w:rFonts w:ascii="Arial" w:hAnsi="Arial" w:cs="Arial"/>
          <w:sz w:val="22"/>
          <w:szCs w:val="22"/>
        </w:rPr>
        <w:t>ajority of stable free-living T1D adults not on SGLT2 inhibitor had normal ketone levels. Elevated BMI</w:t>
      </w:r>
      <w:r w:rsidR="006A555C">
        <w:rPr>
          <w:rFonts w:ascii="Arial" w:hAnsi="Arial" w:cs="Arial"/>
          <w:sz w:val="22"/>
          <w:szCs w:val="22"/>
        </w:rPr>
        <w:t xml:space="preserve"> and</w:t>
      </w:r>
      <w:r w:rsidR="0083730B">
        <w:rPr>
          <w:rFonts w:ascii="Arial" w:hAnsi="Arial" w:cs="Arial"/>
          <w:sz w:val="22"/>
          <w:szCs w:val="22"/>
        </w:rPr>
        <w:t xml:space="preserve"> </w:t>
      </w:r>
      <w:r w:rsidR="0083730B" w:rsidRPr="004B7BA2">
        <w:rPr>
          <w:rFonts w:ascii="Arial" w:hAnsi="Arial" w:cs="Arial"/>
          <w:sz w:val="22"/>
          <w:szCs w:val="22"/>
        </w:rPr>
        <w:t>≥</w:t>
      </w:r>
      <w:r w:rsidR="0083730B">
        <w:rPr>
          <w:rFonts w:ascii="Arial" w:hAnsi="Arial" w:cs="Arial"/>
          <w:sz w:val="22"/>
          <w:szCs w:val="22"/>
        </w:rPr>
        <w:t xml:space="preserve">10-year diabetes duration </w:t>
      </w:r>
      <w:r w:rsidR="00D97C3A">
        <w:rPr>
          <w:rFonts w:ascii="Arial" w:hAnsi="Arial" w:cs="Arial"/>
          <w:sz w:val="22"/>
          <w:szCs w:val="22"/>
        </w:rPr>
        <w:t>was</w:t>
      </w:r>
      <w:r w:rsidR="0083730B">
        <w:rPr>
          <w:rFonts w:ascii="Arial" w:hAnsi="Arial" w:cs="Arial"/>
          <w:sz w:val="22"/>
          <w:szCs w:val="22"/>
        </w:rPr>
        <w:t xml:space="preserve"> associated with ketone levels </w:t>
      </w:r>
      <w:r w:rsidR="0022343E" w:rsidRPr="004B7BA2">
        <w:rPr>
          <w:rFonts w:ascii="Arial" w:hAnsi="Arial" w:cs="Arial"/>
          <w:sz w:val="22"/>
          <w:szCs w:val="22"/>
        </w:rPr>
        <w:t>≥</w:t>
      </w:r>
      <w:r w:rsidR="0022343E">
        <w:rPr>
          <w:rFonts w:ascii="Arial" w:hAnsi="Arial" w:cs="Arial"/>
          <w:sz w:val="22"/>
          <w:szCs w:val="22"/>
        </w:rPr>
        <w:t>1.0mmol/L</w:t>
      </w:r>
      <w:r w:rsidR="0083730B">
        <w:rPr>
          <w:rFonts w:ascii="Arial" w:hAnsi="Arial" w:cs="Arial"/>
          <w:sz w:val="22"/>
          <w:szCs w:val="22"/>
        </w:rPr>
        <w:t xml:space="preserve">. </w:t>
      </w:r>
    </w:p>
    <w:p w14:paraId="01DFFA94" w14:textId="77777777" w:rsidR="00B404DF" w:rsidRDefault="00B404DF" w:rsidP="00E931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B404DF" w:rsidRPr="004B7BA2" w14:paraId="79540146" w14:textId="77777777" w:rsidTr="001F4690">
        <w:tc>
          <w:tcPr>
            <w:tcW w:w="4531" w:type="dxa"/>
            <w:vAlign w:val="center"/>
          </w:tcPr>
          <w:p w14:paraId="4111B08D" w14:textId="77777777" w:rsidR="00B404DF" w:rsidRPr="004B7BA2" w:rsidRDefault="00B404DF" w:rsidP="001F469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Metabolic Metrics</w:t>
            </w:r>
          </w:p>
        </w:tc>
        <w:tc>
          <w:tcPr>
            <w:tcW w:w="4536" w:type="dxa"/>
            <w:vAlign w:val="center"/>
          </w:tcPr>
          <w:p w14:paraId="5EAEF759" w14:textId="77777777" w:rsidR="00B404DF" w:rsidRPr="004B7BA2" w:rsidRDefault="00B404DF" w:rsidP="001F469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7BA2">
              <w:rPr>
                <w:rFonts w:ascii="Arial" w:hAnsi="Arial" w:cs="Arial"/>
                <w:b/>
                <w:bCs/>
                <w:sz w:val="22"/>
                <w:szCs w:val="22"/>
              </w:rPr>
              <w:t>(n=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  <w:r w:rsidRPr="004B7BA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B404DF" w:rsidRPr="004B7BA2" w14:paraId="76C27F25" w14:textId="77777777" w:rsidTr="001F4690">
        <w:tc>
          <w:tcPr>
            <w:tcW w:w="4531" w:type="dxa"/>
          </w:tcPr>
          <w:p w14:paraId="26C1C282" w14:textId="77777777" w:rsidR="00B404DF" w:rsidRPr="004B7BA2" w:rsidRDefault="00B404DF" w:rsidP="001F469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B7BA2">
              <w:rPr>
                <w:rFonts w:ascii="Arial" w:hAnsi="Arial" w:cs="Arial"/>
                <w:sz w:val="22"/>
                <w:szCs w:val="22"/>
              </w:rPr>
              <w:t>HbA1c %</w:t>
            </w:r>
            <w:r>
              <w:rPr>
                <w:rFonts w:ascii="Arial" w:hAnsi="Arial" w:cs="Arial"/>
                <w:sz w:val="22"/>
                <w:szCs w:val="22"/>
              </w:rPr>
              <w:t xml:space="preserve"> / mmol/mol</w:t>
            </w:r>
          </w:p>
        </w:tc>
        <w:tc>
          <w:tcPr>
            <w:tcW w:w="4536" w:type="dxa"/>
          </w:tcPr>
          <w:p w14:paraId="724FB43D" w14:textId="77777777" w:rsidR="00B404DF" w:rsidRPr="00E47852" w:rsidRDefault="00B404DF" w:rsidP="001F4690">
            <w:pPr>
              <w:pStyle w:val="ListParagraph"/>
              <w:numPr>
                <w:ilvl w:val="1"/>
                <w:numId w:val="2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852">
              <w:rPr>
                <w:rFonts w:ascii="Arial" w:hAnsi="Arial" w:cs="Arial"/>
                <w:sz w:val="22"/>
                <w:szCs w:val="22"/>
              </w:rPr>
              <w:t>(6.8, 8.2)</w:t>
            </w:r>
            <w:r>
              <w:rPr>
                <w:rFonts w:ascii="Arial" w:hAnsi="Arial" w:cs="Arial"/>
                <w:sz w:val="22"/>
                <w:szCs w:val="22"/>
              </w:rPr>
              <w:t xml:space="preserve"> / 56 (51, 66)</w:t>
            </w:r>
          </w:p>
        </w:tc>
      </w:tr>
      <w:tr w:rsidR="00B404DF" w:rsidRPr="004B7BA2" w14:paraId="1345909D" w14:textId="77777777" w:rsidTr="001F4690">
        <w:tc>
          <w:tcPr>
            <w:tcW w:w="4531" w:type="dxa"/>
          </w:tcPr>
          <w:p w14:paraId="1E94995E" w14:textId="77777777" w:rsidR="00B404DF" w:rsidRPr="00E47852" w:rsidRDefault="00B404DF" w:rsidP="001F469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CGM </w:t>
            </w:r>
            <w:r w:rsidRPr="00E47852">
              <w:rPr>
                <w:rFonts w:ascii="Arial" w:hAnsi="Arial" w:cs="Arial"/>
                <w:sz w:val="22"/>
                <w:szCs w:val="22"/>
              </w:rPr>
              <w:t xml:space="preserve">TIR 3.9-10.0 mmol/L, % </w:t>
            </w:r>
          </w:p>
          <w:p w14:paraId="45CC666B" w14:textId="77777777" w:rsidR="00B404DF" w:rsidRPr="00E47852" w:rsidRDefault="00B404DF" w:rsidP="001F469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CGM </w:t>
            </w:r>
            <w:r w:rsidRPr="00E47852">
              <w:rPr>
                <w:rFonts w:ascii="Arial" w:hAnsi="Arial" w:cs="Arial"/>
                <w:sz w:val="22"/>
                <w:szCs w:val="22"/>
              </w:rPr>
              <w:t xml:space="preserve">TBR </w:t>
            </w:r>
            <w:r>
              <w:rPr>
                <w:rFonts w:ascii="Arial" w:hAnsi="Arial" w:cs="Arial"/>
                <w:sz w:val="22"/>
                <w:szCs w:val="22"/>
              </w:rPr>
              <w:t>&lt;3.9</w:t>
            </w:r>
            <w:r w:rsidRPr="00E47852">
              <w:rPr>
                <w:rFonts w:ascii="Arial" w:hAnsi="Arial" w:cs="Arial"/>
                <w:sz w:val="22"/>
                <w:szCs w:val="22"/>
              </w:rPr>
              <w:t xml:space="preserve"> mmol/L, % </w:t>
            </w:r>
          </w:p>
          <w:p w14:paraId="4D81E459" w14:textId="77777777" w:rsidR="00B404DF" w:rsidRPr="00E47852" w:rsidRDefault="00B404DF" w:rsidP="001F469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47852">
              <w:rPr>
                <w:rFonts w:ascii="Arial" w:hAnsi="Arial" w:cs="Arial"/>
                <w:sz w:val="22"/>
                <w:szCs w:val="22"/>
              </w:rPr>
              <w:t xml:space="preserve">CGM TAR &gt;13.9 mmol/L, % </w:t>
            </w:r>
          </w:p>
          <w:p w14:paraId="0B21FD22" w14:textId="77777777" w:rsidR="00B404DF" w:rsidRPr="004B7BA2" w:rsidRDefault="00B404DF" w:rsidP="001F469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B7BA2">
              <w:rPr>
                <w:rFonts w:ascii="Arial" w:hAnsi="Arial" w:cs="Arial"/>
                <w:sz w:val="22"/>
                <w:szCs w:val="22"/>
              </w:rPr>
              <w:t xml:space="preserve">Average glucose (mmol/L) </w:t>
            </w:r>
          </w:p>
        </w:tc>
        <w:tc>
          <w:tcPr>
            <w:tcW w:w="4536" w:type="dxa"/>
          </w:tcPr>
          <w:p w14:paraId="31F8A9D0" w14:textId="77777777" w:rsidR="00B404DF" w:rsidRPr="009B3917" w:rsidRDefault="00B404DF" w:rsidP="001F469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917">
              <w:rPr>
                <w:rFonts w:ascii="Arial" w:hAnsi="Arial" w:cs="Arial"/>
                <w:sz w:val="22"/>
                <w:szCs w:val="22"/>
              </w:rPr>
              <w:t>71.0 (59.25, 83.0)</w:t>
            </w:r>
          </w:p>
          <w:p w14:paraId="2B976DB3" w14:textId="77777777" w:rsidR="00B404DF" w:rsidRPr="009B3917" w:rsidRDefault="00B404DF" w:rsidP="001F469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917">
              <w:rPr>
                <w:rFonts w:ascii="Arial" w:hAnsi="Arial" w:cs="Arial"/>
                <w:sz w:val="22"/>
                <w:szCs w:val="22"/>
              </w:rPr>
              <w:t>2.0 (1.0, 4.0)</w:t>
            </w:r>
          </w:p>
          <w:p w14:paraId="6B583D66" w14:textId="77777777" w:rsidR="00B404DF" w:rsidRPr="004B7BA2" w:rsidRDefault="00B404DF" w:rsidP="001F469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917">
              <w:rPr>
                <w:rFonts w:ascii="Arial" w:hAnsi="Arial" w:cs="Arial"/>
                <w:sz w:val="22"/>
                <w:szCs w:val="22"/>
              </w:rPr>
              <w:t>4.0 (1.0, 10.75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33855EF" w14:textId="77777777" w:rsidR="00B404DF" w:rsidRPr="004B7BA2" w:rsidRDefault="00B404DF" w:rsidP="001F469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BA2">
              <w:rPr>
                <w:rFonts w:ascii="Arial" w:hAnsi="Arial" w:cs="Arial"/>
                <w:sz w:val="22"/>
                <w:szCs w:val="22"/>
              </w:rPr>
              <w:t>8.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4B7BA2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7.3</w:t>
            </w:r>
            <w:r w:rsidRPr="004B7BA2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9.4</w:t>
            </w:r>
            <w:r w:rsidRPr="004B7B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404DF" w:rsidRPr="004B7BA2" w14:paraId="1F5C70BD" w14:textId="77777777" w:rsidTr="001F4690">
        <w:tc>
          <w:tcPr>
            <w:tcW w:w="4531" w:type="dxa"/>
          </w:tcPr>
          <w:p w14:paraId="6EC981E4" w14:textId="77777777" w:rsidR="00B404DF" w:rsidRPr="00E47852" w:rsidRDefault="00B404DF" w:rsidP="001F469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CKM Time </w:t>
            </w:r>
            <w:r w:rsidRPr="00E47852">
              <w:rPr>
                <w:rFonts w:ascii="Arial" w:hAnsi="Arial" w:cs="Arial"/>
                <w:sz w:val="22"/>
                <w:szCs w:val="22"/>
              </w:rPr>
              <w:t>&lt;0.6 mmol/L, %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43890422" w14:textId="77777777" w:rsidR="00B404DF" w:rsidRPr="00E47852" w:rsidRDefault="00B404DF" w:rsidP="001F469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CKM Time </w:t>
            </w:r>
            <w:r w:rsidRPr="00E47852">
              <w:rPr>
                <w:rFonts w:ascii="Arial" w:hAnsi="Arial" w:cs="Arial"/>
                <w:sz w:val="22"/>
                <w:szCs w:val="22"/>
              </w:rPr>
              <w:t>0.6-0.9 mmol/L, %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E4785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707360" w14:textId="77777777" w:rsidR="00B404DF" w:rsidRPr="00E47852" w:rsidRDefault="00B404DF" w:rsidP="001F469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CKM Time </w:t>
            </w:r>
            <w:r w:rsidRPr="00E47852">
              <w:rPr>
                <w:rFonts w:ascii="Arial" w:hAnsi="Arial" w:cs="Arial"/>
                <w:sz w:val="22"/>
                <w:szCs w:val="22"/>
              </w:rPr>
              <w:t>1.0-1.5 mmol/L, %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470720B6" w14:textId="77777777" w:rsidR="00B404DF" w:rsidRPr="004B7BA2" w:rsidRDefault="00B404DF" w:rsidP="001F469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B7BA2">
              <w:rPr>
                <w:rFonts w:ascii="Arial" w:hAnsi="Arial" w:cs="Arial"/>
                <w:sz w:val="22"/>
                <w:szCs w:val="22"/>
              </w:rPr>
              <w:t>Time with high ketones ≥1.6 mmol/L, %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4B7B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14:paraId="777EC340" w14:textId="77777777" w:rsidR="00B404DF" w:rsidRPr="00391233" w:rsidRDefault="00B404DF" w:rsidP="001F469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233">
              <w:rPr>
                <w:rFonts w:ascii="Arial" w:hAnsi="Arial" w:cs="Arial"/>
                <w:sz w:val="22"/>
                <w:szCs w:val="22"/>
              </w:rPr>
              <w:t>100.0 (92.3, 100)</w:t>
            </w:r>
          </w:p>
          <w:p w14:paraId="551565FC" w14:textId="77777777" w:rsidR="00B404DF" w:rsidRPr="00391233" w:rsidRDefault="00B404DF" w:rsidP="001F469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233">
              <w:rPr>
                <w:rFonts w:ascii="Arial" w:hAnsi="Arial" w:cs="Arial"/>
                <w:sz w:val="22"/>
                <w:szCs w:val="22"/>
              </w:rPr>
              <w:t>0.0 (0.0, 5.3)</w:t>
            </w:r>
          </w:p>
          <w:p w14:paraId="30F65894" w14:textId="77777777" w:rsidR="00B404DF" w:rsidRPr="00391233" w:rsidRDefault="00B404DF" w:rsidP="001F469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233">
              <w:rPr>
                <w:rFonts w:ascii="Arial" w:hAnsi="Arial" w:cs="Arial"/>
                <w:sz w:val="22"/>
                <w:szCs w:val="22"/>
              </w:rPr>
              <w:t>0.0 (0.0, 2.4)</w:t>
            </w:r>
          </w:p>
          <w:p w14:paraId="75B0EC0C" w14:textId="77777777" w:rsidR="00B404DF" w:rsidRPr="004B7BA2" w:rsidRDefault="00B404DF" w:rsidP="001F469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233">
              <w:rPr>
                <w:rFonts w:ascii="Arial" w:hAnsi="Arial" w:cs="Arial"/>
                <w:sz w:val="22"/>
                <w:szCs w:val="22"/>
              </w:rPr>
              <w:t>0.0 (0.0, 0.0)</w:t>
            </w:r>
          </w:p>
        </w:tc>
      </w:tr>
    </w:tbl>
    <w:p w14:paraId="47AC8907" w14:textId="089CC334" w:rsidR="00B404DF" w:rsidRPr="004B7BA2" w:rsidRDefault="00B404DF" w:rsidP="00E93131">
      <w:pPr>
        <w:rPr>
          <w:rFonts w:ascii="Arial" w:hAnsi="Arial" w:cs="Arial"/>
          <w:sz w:val="22"/>
          <w:szCs w:val="22"/>
        </w:rPr>
      </w:pPr>
      <w:r w:rsidRPr="004B7BA2">
        <w:rPr>
          <w:rFonts w:ascii="Arial" w:hAnsi="Arial" w:cs="Arial"/>
          <w:b/>
          <w:bCs/>
          <w:sz w:val="22"/>
          <w:szCs w:val="22"/>
        </w:rPr>
        <w:t>Table 1: Baseline glycaemic and continuous ketone data</w:t>
      </w:r>
      <w:r>
        <w:rPr>
          <w:rFonts w:ascii="Arial" w:hAnsi="Arial" w:cs="Arial"/>
          <w:sz w:val="22"/>
          <w:szCs w:val="22"/>
        </w:rPr>
        <w:t xml:space="preserve">. </w:t>
      </w:r>
      <w:r w:rsidRPr="004B7BA2">
        <w:rPr>
          <w:rFonts w:ascii="Arial" w:hAnsi="Arial" w:cs="Arial"/>
          <w:sz w:val="22"/>
          <w:szCs w:val="22"/>
        </w:rPr>
        <w:t xml:space="preserve">CGM = continuous glucose monitor; CKM = continuous ketone monitor; </w:t>
      </w:r>
      <w:r w:rsidRPr="004B7BA2">
        <w:rPr>
          <w:rFonts w:ascii="Arial" w:hAnsi="Arial" w:cs="Arial"/>
          <w:sz w:val="22"/>
          <w:szCs w:val="22"/>
          <w:lang w:val="en-US"/>
        </w:rPr>
        <w:t>TAR = time above range; TBR = time below range; TIR = time in range.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4B7BA2">
        <w:rPr>
          <w:rFonts w:ascii="Arial" w:hAnsi="Arial" w:cs="Arial"/>
          <w:sz w:val="22"/>
          <w:szCs w:val="22"/>
        </w:rPr>
        <w:t>Continuous</w:t>
      </w:r>
      <w:r>
        <w:rPr>
          <w:rFonts w:ascii="Arial" w:hAnsi="Arial" w:cs="Arial"/>
          <w:sz w:val="22"/>
          <w:szCs w:val="22"/>
        </w:rPr>
        <w:t xml:space="preserve"> </w:t>
      </w:r>
      <w:r w:rsidRPr="004B7BA2">
        <w:rPr>
          <w:rFonts w:ascii="Arial" w:hAnsi="Arial" w:cs="Arial"/>
          <w:sz w:val="22"/>
          <w:szCs w:val="22"/>
        </w:rPr>
        <w:t xml:space="preserve">data presented as median (interquartile range), except for CKM data. *CKM data was presented as median (minimum, maximum) as first and third quartile were the same as median </w:t>
      </w:r>
    </w:p>
    <w:p w14:paraId="52C6D773" w14:textId="77777777" w:rsidR="00BE3CB5" w:rsidRPr="004B7BA2" w:rsidRDefault="00BE3CB5" w:rsidP="00E93131">
      <w:pPr>
        <w:rPr>
          <w:rFonts w:ascii="Arial" w:hAnsi="Arial" w:cs="Arial"/>
          <w:sz w:val="22"/>
          <w:szCs w:val="22"/>
        </w:rPr>
      </w:pPr>
    </w:p>
    <w:p w14:paraId="04D95E96" w14:textId="5842C9BC" w:rsidR="00BE3CB5" w:rsidRPr="004B7BA2" w:rsidRDefault="004B7BA2" w:rsidP="00E93131">
      <w:pPr>
        <w:rPr>
          <w:rFonts w:ascii="Arial" w:hAnsi="Arial" w:cs="Arial"/>
          <w:b/>
          <w:bCs/>
          <w:sz w:val="22"/>
          <w:szCs w:val="22"/>
        </w:rPr>
      </w:pPr>
      <w:r w:rsidRPr="004B7BA2">
        <w:rPr>
          <w:rFonts w:ascii="Arial" w:hAnsi="Arial" w:cs="Arial"/>
          <w:b/>
          <w:bCs/>
          <w:sz w:val="22"/>
          <w:szCs w:val="22"/>
        </w:rPr>
        <w:t>Word Count</w:t>
      </w:r>
      <w:r w:rsidR="00791416" w:rsidRPr="004B7BA2">
        <w:rPr>
          <w:rFonts w:ascii="Arial" w:hAnsi="Arial" w:cs="Arial"/>
          <w:b/>
          <w:bCs/>
          <w:sz w:val="22"/>
          <w:szCs w:val="22"/>
        </w:rPr>
        <w:t xml:space="preserve">: </w:t>
      </w:r>
      <w:r w:rsidR="00167697">
        <w:rPr>
          <w:rFonts w:ascii="Arial" w:hAnsi="Arial" w:cs="Arial"/>
          <w:b/>
          <w:bCs/>
          <w:sz w:val="22"/>
          <w:szCs w:val="22"/>
        </w:rPr>
        <w:t>20</w:t>
      </w:r>
      <w:r w:rsidR="005B622F">
        <w:rPr>
          <w:rFonts w:ascii="Arial" w:hAnsi="Arial" w:cs="Arial"/>
          <w:b/>
          <w:bCs/>
          <w:sz w:val="22"/>
          <w:szCs w:val="22"/>
        </w:rPr>
        <w:t>0</w:t>
      </w:r>
    </w:p>
    <w:p w14:paraId="1E756CC4" w14:textId="53500350" w:rsidR="006112B5" w:rsidRPr="00B404DF" w:rsidRDefault="00791416" w:rsidP="00E93131">
      <w:pPr>
        <w:rPr>
          <w:rFonts w:ascii="Arial" w:hAnsi="Arial" w:cs="Arial"/>
          <w:b/>
          <w:bCs/>
          <w:sz w:val="22"/>
          <w:szCs w:val="22"/>
        </w:rPr>
      </w:pPr>
      <w:r w:rsidRPr="004B7BA2">
        <w:rPr>
          <w:rFonts w:ascii="Arial" w:hAnsi="Arial" w:cs="Arial"/>
          <w:b/>
          <w:bCs/>
          <w:sz w:val="22"/>
          <w:szCs w:val="22"/>
        </w:rPr>
        <w:t>Tables: 1</w:t>
      </w:r>
    </w:p>
    <w:p w14:paraId="01DFD804" w14:textId="337E1359" w:rsidR="006112B5" w:rsidRDefault="006112B5" w:rsidP="00E93131">
      <w:pPr>
        <w:rPr>
          <w:rFonts w:ascii="Arial" w:hAnsi="Arial" w:cs="Arial"/>
          <w:sz w:val="22"/>
          <w:szCs w:val="22"/>
        </w:rPr>
      </w:pPr>
    </w:p>
    <w:p w14:paraId="3EBAF3BB" w14:textId="6AFE13DB" w:rsidR="00393485" w:rsidRPr="004B7BA2" w:rsidRDefault="00393485" w:rsidP="00E93131">
      <w:pPr>
        <w:rPr>
          <w:rFonts w:ascii="Arial" w:hAnsi="Arial" w:cs="Arial"/>
          <w:sz w:val="22"/>
          <w:szCs w:val="22"/>
        </w:rPr>
      </w:pPr>
    </w:p>
    <w:sectPr w:rsidR="00393485" w:rsidRPr="004B7BA2" w:rsidSect="009F0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C3FA6"/>
    <w:multiLevelType w:val="multilevel"/>
    <w:tmpl w:val="1C52DB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7DF7FC1"/>
    <w:multiLevelType w:val="hybridMultilevel"/>
    <w:tmpl w:val="50FA06FE"/>
    <w:lvl w:ilvl="0" w:tplc="0C044FC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59755">
    <w:abstractNumId w:val="1"/>
  </w:num>
  <w:num w:numId="2" w16cid:durableId="25463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31"/>
    <w:rsid w:val="000037E2"/>
    <w:rsid w:val="00003AF5"/>
    <w:rsid w:val="00015A5F"/>
    <w:rsid w:val="00052C35"/>
    <w:rsid w:val="00067A7C"/>
    <w:rsid w:val="00092C6C"/>
    <w:rsid w:val="000940F7"/>
    <w:rsid w:val="000D6339"/>
    <w:rsid w:val="00107833"/>
    <w:rsid w:val="00167697"/>
    <w:rsid w:val="00170F56"/>
    <w:rsid w:val="001802F2"/>
    <w:rsid w:val="00193115"/>
    <w:rsid w:val="001B1E52"/>
    <w:rsid w:val="001C30A8"/>
    <w:rsid w:val="001C5D0B"/>
    <w:rsid w:val="001E358E"/>
    <w:rsid w:val="001F3F21"/>
    <w:rsid w:val="002015A5"/>
    <w:rsid w:val="00211161"/>
    <w:rsid w:val="0022343E"/>
    <w:rsid w:val="00224B29"/>
    <w:rsid w:val="00236320"/>
    <w:rsid w:val="00243019"/>
    <w:rsid w:val="00243242"/>
    <w:rsid w:val="002439E1"/>
    <w:rsid w:val="00245FBF"/>
    <w:rsid w:val="0024614A"/>
    <w:rsid w:val="00304758"/>
    <w:rsid w:val="00313F42"/>
    <w:rsid w:val="003158D5"/>
    <w:rsid w:val="00325E63"/>
    <w:rsid w:val="00345DDD"/>
    <w:rsid w:val="003505CF"/>
    <w:rsid w:val="0036493A"/>
    <w:rsid w:val="00391233"/>
    <w:rsid w:val="00393485"/>
    <w:rsid w:val="003E39C8"/>
    <w:rsid w:val="003F338F"/>
    <w:rsid w:val="004018B3"/>
    <w:rsid w:val="00414674"/>
    <w:rsid w:val="00425920"/>
    <w:rsid w:val="00427BDB"/>
    <w:rsid w:val="00431FBA"/>
    <w:rsid w:val="00437AE4"/>
    <w:rsid w:val="00443133"/>
    <w:rsid w:val="00444F07"/>
    <w:rsid w:val="00470FE6"/>
    <w:rsid w:val="004810EA"/>
    <w:rsid w:val="004B7BA2"/>
    <w:rsid w:val="004C0A02"/>
    <w:rsid w:val="004E0D72"/>
    <w:rsid w:val="004E3579"/>
    <w:rsid w:val="005044F7"/>
    <w:rsid w:val="00506D26"/>
    <w:rsid w:val="00527699"/>
    <w:rsid w:val="00543DE3"/>
    <w:rsid w:val="00550B2C"/>
    <w:rsid w:val="005617B1"/>
    <w:rsid w:val="00567EB1"/>
    <w:rsid w:val="00586418"/>
    <w:rsid w:val="005908EA"/>
    <w:rsid w:val="00595F99"/>
    <w:rsid w:val="005A5E84"/>
    <w:rsid w:val="005B622F"/>
    <w:rsid w:val="005D2E25"/>
    <w:rsid w:val="005E784C"/>
    <w:rsid w:val="005F0636"/>
    <w:rsid w:val="006112B5"/>
    <w:rsid w:val="006449FC"/>
    <w:rsid w:val="00655441"/>
    <w:rsid w:val="00670631"/>
    <w:rsid w:val="006A555C"/>
    <w:rsid w:val="006B5281"/>
    <w:rsid w:val="006C43AA"/>
    <w:rsid w:val="006E0D2B"/>
    <w:rsid w:val="006E61CE"/>
    <w:rsid w:val="0070398F"/>
    <w:rsid w:val="00703C49"/>
    <w:rsid w:val="007372F6"/>
    <w:rsid w:val="00753616"/>
    <w:rsid w:val="00771ABF"/>
    <w:rsid w:val="007767BC"/>
    <w:rsid w:val="00791416"/>
    <w:rsid w:val="00791961"/>
    <w:rsid w:val="007952DF"/>
    <w:rsid w:val="007A3C45"/>
    <w:rsid w:val="007E42DE"/>
    <w:rsid w:val="007F044D"/>
    <w:rsid w:val="007F2FC1"/>
    <w:rsid w:val="0082544E"/>
    <w:rsid w:val="00830623"/>
    <w:rsid w:val="00833D20"/>
    <w:rsid w:val="0083730B"/>
    <w:rsid w:val="008803DF"/>
    <w:rsid w:val="008E2833"/>
    <w:rsid w:val="008F482F"/>
    <w:rsid w:val="008F66E4"/>
    <w:rsid w:val="0091672B"/>
    <w:rsid w:val="0093074C"/>
    <w:rsid w:val="009369FD"/>
    <w:rsid w:val="00954274"/>
    <w:rsid w:val="009A7F71"/>
    <w:rsid w:val="009B3917"/>
    <w:rsid w:val="009B4D93"/>
    <w:rsid w:val="009B5B1F"/>
    <w:rsid w:val="009F0908"/>
    <w:rsid w:val="009F5B7E"/>
    <w:rsid w:val="00A33062"/>
    <w:rsid w:val="00A3409E"/>
    <w:rsid w:val="00A36BB0"/>
    <w:rsid w:val="00A638E4"/>
    <w:rsid w:val="00A97554"/>
    <w:rsid w:val="00AA2306"/>
    <w:rsid w:val="00AC4847"/>
    <w:rsid w:val="00AC697F"/>
    <w:rsid w:val="00AC7719"/>
    <w:rsid w:val="00AD6F7C"/>
    <w:rsid w:val="00AF283E"/>
    <w:rsid w:val="00AF2B82"/>
    <w:rsid w:val="00B3281D"/>
    <w:rsid w:val="00B404DF"/>
    <w:rsid w:val="00B85FC3"/>
    <w:rsid w:val="00B86D14"/>
    <w:rsid w:val="00BA4F5D"/>
    <w:rsid w:val="00BB03B0"/>
    <w:rsid w:val="00BB2A2B"/>
    <w:rsid w:val="00BB3759"/>
    <w:rsid w:val="00BE3CB5"/>
    <w:rsid w:val="00C22D63"/>
    <w:rsid w:val="00C74A06"/>
    <w:rsid w:val="00CA0E82"/>
    <w:rsid w:val="00CA388D"/>
    <w:rsid w:val="00CA7F91"/>
    <w:rsid w:val="00CC3A5C"/>
    <w:rsid w:val="00CC5028"/>
    <w:rsid w:val="00CD7A49"/>
    <w:rsid w:val="00CE55F3"/>
    <w:rsid w:val="00CF5A48"/>
    <w:rsid w:val="00D238B6"/>
    <w:rsid w:val="00D37F19"/>
    <w:rsid w:val="00D41BB2"/>
    <w:rsid w:val="00D475B4"/>
    <w:rsid w:val="00D97C3A"/>
    <w:rsid w:val="00DB59FD"/>
    <w:rsid w:val="00DC2E33"/>
    <w:rsid w:val="00DD3ED5"/>
    <w:rsid w:val="00DD66AA"/>
    <w:rsid w:val="00DF247A"/>
    <w:rsid w:val="00E264EB"/>
    <w:rsid w:val="00E342A4"/>
    <w:rsid w:val="00E47852"/>
    <w:rsid w:val="00E73F72"/>
    <w:rsid w:val="00E819AB"/>
    <w:rsid w:val="00E93131"/>
    <w:rsid w:val="00E96FC8"/>
    <w:rsid w:val="00EE31DC"/>
    <w:rsid w:val="00F2274A"/>
    <w:rsid w:val="00F23148"/>
    <w:rsid w:val="00F35686"/>
    <w:rsid w:val="00F66797"/>
    <w:rsid w:val="00F70E1F"/>
    <w:rsid w:val="00F9102B"/>
    <w:rsid w:val="00FB3A4B"/>
    <w:rsid w:val="00FC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BED82"/>
  <w15:chartTrackingRefBased/>
  <w15:docId w15:val="{9C3B8B49-EA4B-498B-9178-C72AA720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1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3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A5E8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22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2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2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D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4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Ngan</dc:creator>
  <cp:keywords/>
  <dc:description/>
  <cp:lastModifiedBy>Jennifer Ngan</cp:lastModifiedBy>
  <cp:revision>2</cp:revision>
  <cp:lastPrinted>2025-03-31T10:13:00Z</cp:lastPrinted>
  <dcterms:created xsi:type="dcterms:W3CDTF">2025-05-19T03:59:00Z</dcterms:created>
  <dcterms:modified xsi:type="dcterms:W3CDTF">2025-05-19T03:59:00Z</dcterms:modified>
</cp:coreProperties>
</file>