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D07D8" w14:paraId="3F71E300" w14:textId="77777777">
        <w:trPr>
          <w:jc w:val="center"/>
        </w:trPr>
        <w:tc>
          <w:tcPr>
            <w:tcW w:w="5000" w:type="pct"/>
            <w:shd w:val="clear" w:color="auto" w:fill="auto"/>
          </w:tcPr>
          <w:p w14:paraId="300809EF" w14:textId="380CB607" w:rsidR="00AD07D8" w:rsidRDefault="0000000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O</w:t>
            </w:r>
            <w:proofErr w:type="spellStart"/>
            <w:r w:rsidR="00D31DB9">
              <w:rPr>
                <w:rFonts w:ascii="Arial" w:hAnsi="Arial" w:cs="Arial"/>
                <w:b/>
                <w:sz w:val="22"/>
                <w:szCs w:val="22"/>
                <w:lang w:val="en-AU" w:eastAsia="zh-CN"/>
              </w:rPr>
              <w:t>ccupational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AU" w:eastAsia="zh-CN"/>
              </w:rPr>
              <w:t xml:space="preserve"> risks for different cough phenotypes among middle-aged Australians.</w:t>
            </w:r>
          </w:p>
        </w:tc>
      </w:tr>
      <w:tr w:rsidR="00AD07D8" w14:paraId="199453D5" w14:textId="77777777">
        <w:trPr>
          <w:jc w:val="center"/>
        </w:trPr>
        <w:tc>
          <w:tcPr>
            <w:tcW w:w="5000" w:type="pct"/>
            <w:shd w:val="clear" w:color="auto" w:fill="auto"/>
          </w:tcPr>
          <w:p w14:paraId="0F1E544A" w14:textId="069E4448" w:rsidR="00AD07D8" w:rsidRDefault="0000000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AU" w:eastAsia="en-GB"/>
              </w:rPr>
            </w:pPr>
            <w:bookmarkStart w:id="0" w:name="_Hlk103772832"/>
            <w:bookmarkStart w:id="1" w:name="_Hlk63156513"/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>Jingwen Zhang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>, Jennifer L Perret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1,2</w:t>
            </w:r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>, Dinh S Bui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  <w:lang w:val="en-AU" w:eastAsia="en-GB"/>
              </w:rPr>
              <w:t>Sheikh M Alif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  <w:lang w:val="en-AU" w:eastAsia="en-GB"/>
              </w:rPr>
              <w:t>3,4</w:t>
            </w:r>
            <w:r>
              <w:rPr>
                <w:rFonts w:ascii="Arial" w:hAnsi="Arial" w:cs="Arial"/>
                <w:bCs/>
                <w:sz w:val="22"/>
                <w:szCs w:val="22"/>
                <w:lang w:val="en-AU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>Michael J Abramson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>, Anne B Chang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5,</w:t>
            </w:r>
            <w:r w:rsidR="00FD05DB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r w:rsidR="00FD05DB">
              <w:rPr>
                <w:rFonts w:ascii="Arial" w:hAnsi="Arial" w:cs="Arial"/>
                <w:sz w:val="22"/>
                <w:szCs w:val="22"/>
                <w:lang w:val="en-AU" w:eastAsia="en-GB"/>
              </w:rPr>
              <w:t>Bruce R Thompson</w:t>
            </w:r>
            <w:r w:rsidR="00FD05DB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7</w:t>
            </w:r>
            <w:r w:rsidR="00FD05DB">
              <w:rPr>
                <w:rFonts w:ascii="Arial" w:hAnsi="Arial" w:cs="Arial"/>
                <w:sz w:val="22"/>
                <w:szCs w:val="22"/>
                <w:lang w:val="en-AU" w:eastAsia="en-GB"/>
              </w:rPr>
              <w:t>, H</w:t>
            </w:r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>ans Kromhout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>Garun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S Hamilton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9,10</w:t>
            </w:r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>, Paul S Thomas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11</w:t>
            </w:r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>Bircan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Erbas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12</w:t>
            </w:r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>, , Melanie C Matheson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1,13</w:t>
            </w:r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  <w:lang w:val="en-AU" w:eastAsia="en-GB"/>
              </w:rPr>
              <w:t xml:space="preserve">E </w:t>
            </w:r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>Haydn Walters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1,14</w:t>
            </w:r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>, Caroline J Lodge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="00D31DB9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proofErr w:type="spellStart"/>
            <w:r w:rsidR="00D31DB9">
              <w:rPr>
                <w:rFonts w:ascii="Arial" w:hAnsi="Arial" w:cs="Arial"/>
                <w:sz w:val="22"/>
                <w:szCs w:val="22"/>
                <w:lang w:val="en-AU" w:eastAsia="en-GB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>hyamali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C Dharmage</w:t>
            </w:r>
            <w:bookmarkEnd w:id="0"/>
            <w:r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bookmarkEnd w:id="1"/>
          </w:p>
        </w:tc>
      </w:tr>
      <w:tr w:rsidR="00AD07D8" w14:paraId="6331F7BD" w14:textId="77777777">
        <w:trPr>
          <w:trHeight w:val="136"/>
          <w:jc w:val="center"/>
        </w:trPr>
        <w:tc>
          <w:tcPr>
            <w:tcW w:w="5000" w:type="pct"/>
            <w:shd w:val="clear" w:color="auto" w:fill="auto"/>
          </w:tcPr>
          <w:p w14:paraId="6A60C7A7" w14:textId="77777777" w:rsidR="00AD07D8" w:rsidRDefault="00000000">
            <w:pPr>
              <w:pStyle w:val="Maintext"/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1</w:t>
            </w:r>
            <w:r>
              <w:rPr>
                <w:rFonts w:ascii="Arial" w:hAnsi="Arial" w:cs="Arial"/>
                <w:sz w:val="22"/>
              </w:rPr>
              <w:t xml:space="preserve"> Allergy and Lung Health Unit, Centre for Epidemiology and Biostatistics, Melbourne School of Population and Global Health, The University of Melbourne, Melbourne, VIC, Australia. </w:t>
            </w:r>
          </w:p>
          <w:p w14:paraId="1DD83121" w14:textId="77777777" w:rsidR="00AD07D8" w:rsidRDefault="00000000">
            <w:pPr>
              <w:pStyle w:val="Maintext"/>
              <w:spacing w:before="0" w:line="240" w:lineRule="auto"/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 xml:space="preserve">2 </w:t>
            </w:r>
            <w:r>
              <w:rPr>
                <w:rFonts w:ascii="Arial" w:hAnsi="Arial" w:cs="Arial"/>
                <w:sz w:val="22"/>
              </w:rPr>
              <w:t>Institute for Breathing and Sleep (IBAS), Melbourne, VIC, Australia.</w:t>
            </w:r>
          </w:p>
          <w:p w14:paraId="09E18234" w14:textId="77777777" w:rsidR="00AD07D8" w:rsidRDefault="00000000">
            <w:pPr>
              <w:pStyle w:val="Maintext"/>
              <w:spacing w:before="0" w:line="240" w:lineRule="auto"/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 xml:space="preserve">3 </w:t>
            </w:r>
            <w:r>
              <w:rPr>
                <w:rFonts w:ascii="Arial" w:hAnsi="Arial" w:cs="Arial"/>
                <w:sz w:val="22"/>
              </w:rPr>
              <w:t>School of Public Health and Preventive Medicine, Monash University, Melbourne, VIC, Australia.</w:t>
            </w:r>
          </w:p>
          <w:p w14:paraId="2B4CB5BF" w14:textId="2B53AE11" w:rsidR="00AD07D8" w:rsidRDefault="00000000">
            <w:pPr>
              <w:pStyle w:val="Maintext"/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 xml:space="preserve">4 </w:t>
            </w:r>
            <w:r>
              <w:rPr>
                <w:rFonts w:ascii="Arial" w:hAnsi="Arial" w:cs="Arial"/>
                <w:sz w:val="22"/>
              </w:rPr>
              <w:t xml:space="preserve">Institute of Health and Wellbeing, Federation University Australia, Berwick, VIC, Australia.  </w:t>
            </w:r>
          </w:p>
          <w:p w14:paraId="38E52459" w14:textId="44498204" w:rsidR="00AD07D8" w:rsidRDefault="00000000">
            <w:pPr>
              <w:pStyle w:val="Maintext"/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 xml:space="preserve">5 </w:t>
            </w:r>
            <w:r>
              <w:rPr>
                <w:rFonts w:ascii="Arial" w:hAnsi="Arial" w:cs="Arial"/>
                <w:sz w:val="22"/>
              </w:rPr>
              <w:t>Australian Centre for Health Services Innovation, Queensland University of Technology, Brisbane, QLD, Australia.</w:t>
            </w:r>
          </w:p>
          <w:p w14:paraId="08C14E58" w14:textId="2BFE20B5" w:rsidR="00AD07D8" w:rsidRDefault="00FD05DB">
            <w:pPr>
              <w:pStyle w:val="Maintext"/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6</w:t>
            </w:r>
            <w:r w:rsidR="00000000">
              <w:rPr>
                <w:rFonts w:ascii="Arial" w:hAnsi="Arial" w:cs="Arial"/>
                <w:sz w:val="22"/>
              </w:rPr>
              <w:t xml:space="preserve"> Child Health Division, Menzies School of Health Research, Charles Darwin University, Casuarina, NT, Australia.</w:t>
            </w:r>
          </w:p>
          <w:p w14:paraId="00087830" w14:textId="6B59A0D8" w:rsidR="00FD05DB" w:rsidRDefault="00FD05DB">
            <w:pPr>
              <w:pStyle w:val="Maintext"/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7</w:t>
            </w:r>
            <w:r>
              <w:rPr>
                <w:rFonts w:ascii="Arial" w:hAnsi="Arial" w:cs="Arial"/>
                <w:sz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Melbourne School Health Science, The University of Melbourne, Melbourne, VIC, Australia.</w:t>
            </w:r>
          </w:p>
          <w:p w14:paraId="7AE73386" w14:textId="64AE5CEC" w:rsidR="00AD07D8" w:rsidRDefault="00000000">
            <w:pPr>
              <w:pStyle w:val="Maintext"/>
              <w:spacing w:before="0" w:line="240" w:lineRule="auto"/>
              <w:rPr>
                <w:rFonts w:ascii="Arial" w:hAnsi="Arial" w:cs="Arial"/>
                <w:sz w:val="22"/>
                <w:vertAlign w:val="superscript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 xml:space="preserve">8 </w:t>
            </w:r>
            <w:r>
              <w:rPr>
                <w:rFonts w:ascii="Arial" w:hAnsi="Arial" w:cs="Arial"/>
                <w:sz w:val="22"/>
              </w:rPr>
              <w:t>Institute for Risk Assessment Sciences, Utrecht University, Utrecht, The Netherlands.</w:t>
            </w:r>
          </w:p>
          <w:p w14:paraId="12B0864E" w14:textId="0EBA0F0B" w:rsidR="00AD07D8" w:rsidRDefault="0000000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9 </w:t>
            </w:r>
            <w:r>
              <w:rPr>
                <w:rFonts w:ascii="Arial" w:hAnsi="Arial" w:cs="Arial"/>
                <w:sz w:val="22"/>
                <w:szCs w:val="22"/>
              </w:rPr>
              <w:t>Department of Lung, Sleep, Allergy &amp; Immunology, Monash Health, Clayton, VIC Australia.</w:t>
            </w:r>
          </w:p>
          <w:p w14:paraId="191D2419" w14:textId="12DFD16C" w:rsidR="00AD07D8" w:rsidRDefault="0000000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10 </w:t>
            </w:r>
            <w:r>
              <w:rPr>
                <w:rFonts w:ascii="Arial" w:hAnsi="Arial" w:cs="Arial"/>
                <w:sz w:val="22"/>
                <w:szCs w:val="22"/>
              </w:rPr>
              <w:t>School of Clinical Sciences, Monash University, Clayton, VIC, Australia.</w:t>
            </w:r>
          </w:p>
          <w:p w14:paraId="0DFE8AAF" w14:textId="3AEFB9AA" w:rsidR="00AD07D8" w:rsidRDefault="00000000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11</w:t>
            </w:r>
            <w:r>
              <w:rPr>
                <w:rFonts w:ascii="Arial" w:hAnsi="Arial" w:cs="Arial"/>
                <w:sz w:val="22"/>
                <w:szCs w:val="22"/>
              </w:rPr>
              <w:t xml:space="preserve"> Prince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Wales’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Clinical School, Faculty of Medicine, UNSW and Respiratory Medicine Prince of Wales’ Hospital, Randwick, NSW, Australia.</w:t>
            </w:r>
          </w:p>
          <w:p w14:paraId="791B0681" w14:textId="6D6672D6" w:rsidR="00AD07D8" w:rsidRDefault="00000000">
            <w:pPr>
              <w:pStyle w:val="CommentTex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 xml:space="preserve"> School of Psychology and Public Health, La Trobe University, Melbourne, VIC, Australia. </w:t>
            </w:r>
          </w:p>
          <w:p w14:paraId="1CD58624" w14:textId="0E505CDA" w:rsidR="00AD07D8" w:rsidRDefault="00000000">
            <w:pPr>
              <w:pStyle w:val="Maintext"/>
              <w:spacing w:before="0" w:line="24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 xml:space="preserve">13 </w:t>
            </w:r>
            <w:r>
              <w:rPr>
                <w:rFonts w:ascii="Arial" w:hAnsi="Arial" w:cs="Arial"/>
                <w:sz w:val="22"/>
              </w:rPr>
              <w:t>Population Health Solutions, Telstra Health, Melbourne, Victoria, Australia.</w:t>
            </w:r>
          </w:p>
          <w:p w14:paraId="4687CF8C" w14:textId="3C06DA42" w:rsidR="00AD07D8" w:rsidRDefault="00000000">
            <w:pPr>
              <w:pStyle w:val="Maintext"/>
              <w:spacing w:before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 xml:space="preserve">14 </w:t>
            </w:r>
            <w:r>
              <w:rPr>
                <w:rFonts w:ascii="Arial" w:hAnsi="Arial" w:cs="Arial"/>
                <w:sz w:val="22"/>
              </w:rPr>
              <w:t>School of Medicine, University of Tasmania, Hobart, TAS, Australia.</w:t>
            </w:r>
          </w:p>
        </w:tc>
      </w:tr>
      <w:tr w:rsidR="00AD07D8" w14:paraId="38348AF0" w14:textId="77777777">
        <w:trPr>
          <w:trHeight w:hRule="exact" w:val="8657"/>
          <w:jc w:val="center"/>
        </w:trPr>
        <w:tc>
          <w:tcPr>
            <w:tcW w:w="5000" w:type="pct"/>
            <w:shd w:val="clear" w:color="auto" w:fill="auto"/>
          </w:tcPr>
          <w:p w14:paraId="0EF9EB40" w14:textId="542520D5" w:rsidR="00AD07D8" w:rsidRDefault="00000000">
            <w:pPr>
              <w:pStyle w:val="Pa12"/>
              <w:rPr>
                <w:color w:val="000000"/>
                <w:sz w:val="22"/>
                <w:szCs w:val="22"/>
                <w:lang w:val="en-AU" w:eastAsia="zh-CN"/>
              </w:rPr>
            </w:pPr>
            <w:r>
              <w:rPr>
                <w:rStyle w:val="A4"/>
                <w:b/>
                <w:bCs/>
              </w:rPr>
              <w:t xml:space="preserve">Introduction/Aim: </w:t>
            </w:r>
            <w:r w:rsidR="00D31DB9">
              <w:rPr>
                <w:rStyle w:val="A4"/>
              </w:rPr>
              <w:t>Chronic cough is a heterogen</w:t>
            </w:r>
            <w:r w:rsidR="00FD05DB">
              <w:rPr>
                <w:rStyle w:val="A4"/>
                <w:rFonts w:hint="eastAsia"/>
                <w:lang w:eastAsia="zh-CN"/>
              </w:rPr>
              <w:t>e</w:t>
            </w:r>
            <w:r w:rsidR="00D31DB9">
              <w:rPr>
                <w:rStyle w:val="A4"/>
              </w:rPr>
              <w:t xml:space="preserve">ous condition and we </w:t>
            </w:r>
            <w:r w:rsidR="00D31DB9">
              <w:rPr>
                <w:color w:val="000000"/>
                <w:sz w:val="22"/>
                <w:szCs w:val="22"/>
                <w:lang w:val="en-AU"/>
              </w:rPr>
              <w:t>aimed to identify the occupational risks of different cough subclasses.</w:t>
            </w:r>
          </w:p>
          <w:p w14:paraId="506F0104" w14:textId="77777777" w:rsidR="00D31DB9" w:rsidRPr="00D31DB9" w:rsidRDefault="00D31DB9" w:rsidP="00D31DB9">
            <w:pPr>
              <w:pStyle w:val="Default"/>
              <w:rPr>
                <w:lang w:val="en-AU"/>
              </w:rPr>
            </w:pPr>
          </w:p>
          <w:p w14:paraId="5A357EE8" w14:textId="41C065B3" w:rsidR="00AD07D8" w:rsidRDefault="00000000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 xml:space="preserve">Methods: </w:t>
            </w:r>
            <w:r>
              <w:rPr>
                <w:rStyle w:val="A4"/>
              </w:rPr>
              <w:t xml:space="preserve">Using data from the Tasmanian Longitudinal Health Study (TAHS), occupational exposures up to age 53 years were coded using the ALOHA+ Job Exposure Matrix, into ever-exposed (no, low- or high-level) and cumulative exposure-unit years. </w:t>
            </w:r>
            <w:r w:rsidR="00D31DB9">
              <w:rPr>
                <w:rStyle w:val="A4"/>
              </w:rPr>
              <w:t>At the mean age of 53 years, there were 2213 current coughers and 1369 non-coughers. Six cough subclasses were previously identified among the 2213 current coughers,</w:t>
            </w:r>
            <w:r w:rsidR="00D31DB9" w:rsidRPr="00D31DB9">
              <w:rPr>
                <w:rStyle w:val="A4"/>
                <w:vertAlign w:val="superscript"/>
              </w:rPr>
              <w:t>1</w:t>
            </w:r>
            <w:r w:rsidR="00D31DB9">
              <w:rPr>
                <w:rStyle w:val="A4"/>
              </w:rPr>
              <w:t xml:space="preserve"> including “minimal cough”, “cough with colds only”, “cough with allergies”, “intermittent productive cough”, “chronic dry cough” and “chronic productive cough”</w:t>
            </w:r>
            <w:r>
              <w:rPr>
                <w:rStyle w:val="A4"/>
              </w:rPr>
              <w:t xml:space="preserve">. Associations with occupational exposures were assessed using multinomial logistic regression for these cough </w:t>
            </w:r>
            <w:r w:rsidR="00D31DB9">
              <w:rPr>
                <w:rStyle w:val="A4"/>
              </w:rPr>
              <w:t>subclasses</w:t>
            </w:r>
            <w:r>
              <w:rPr>
                <w:rStyle w:val="A4"/>
              </w:rPr>
              <w:t xml:space="preserve"> and logistic regression for </w:t>
            </w:r>
            <w:r w:rsidR="00D31DB9">
              <w:rPr>
                <w:rStyle w:val="A4"/>
              </w:rPr>
              <w:t xml:space="preserve">binary </w:t>
            </w:r>
            <w:r>
              <w:rPr>
                <w:rStyle w:val="A4"/>
              </w:rPr>
              <w:t>standard cough definitions (chronic cough, chronic phlegm and chronic bronchitis) after adjusting for potential confounders.</w:t>
            </w:r>
          </w:p>
          <w:p w14:paraId="51526B3D" w14:textId="17902BC9" w:rsidR="00AD07D8" w:rsidRDefault="00D31DB9" w:rsidP="00D31DB9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D31DB9">
              <w:rPr>
                <w:vertAlign w:val="superscript"/>
              </w:rPr>
              <w:t>1</w:t>
            </w:r>
            <w:r>
              <w:t xml:space="preserve"> </w:t>
            </w:r>
            <w:r w:rsidRPr="00D31DB9">
              <w:rPr>
                <w:i/>
                <w:iCs/>
                <w:sz w:val="22"/>
                <w:szCs w:val="22"/>
              </w:rPr>
              <w:t>Zhang et al. Lancet Respiratory Medicine, 2023 (In press).</w:t>
            </w:r>
          </w:p>
          <w:p w14:paraId="5CC78468" w14:textId="77777777" w:rsidR="00D31DB9" w:rsidRPr="00D31DB9" w:rsidRDefault="00D31DB9" w:rsidP="00D31DB9">
            <w:pPr>
              <w:pStyle w:val="Default"/>
            </w:pPr>
          </w:p>
          <w:p w14:paraId="61E8DEA5" w14:textId="57B19E8A" w:rsidR="00AD07D8" w:rsidRDefault="00000000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 xml:space="preserve">Results: </w:t>
            </w:r>
            <w:r>
              <w:rPr>
                <w:rStyle w:val="A4"/>
              </w:rPr>
              <w:t>Biological dust was associated with “cough with allergies” (high-level ever-exposure: adjusted multinomial odds ratio [</w:t>
            </w:r>
            <w:proofErr w:type="spellStart"/>
            <w:r>
              <w:rPr>
                <w:rStyle w:val="A4"/>
              </w:rPr>
              <w:t>aMOR</w:t>
            </w:r>
            <w:proofErr w:type="spellEnd"/>
            <w:r>
              <w:rPr>
                <w:rStyle w:val="A4"/>
              </w:rPr>
              <w:t xml:space="preserve">, 95%CI] =1.75, 1.17-2.60; cumulative: </w:t>
            </w:r>
            <w:proofErr w:type="spellStart"/>
            <w:r>
              <w:rPr>
                <w:rStyle w:val="A4"/>
              </w:rPr>
              <w:t>aMOR</w:t>
            </w:r>
            <w:proofErr w:type="spellEnd"/>
            <w:r>
              <w:rPr>
                <w:rStyle w:val="A4"/>
              </w:rPr>
              <w:t>=1.06, 1.02-1.10 per 10 exposure-year increase). Herbicides (cumulative) were also associated with “intermittent productive cough” (</w:t>
            </w:r>
            <w:proofErr w:type="spellStart"/>
            <w:r>
              <w:rPr>
                <w:rStyle w:val="A4"/>
              </w:rPr>
              <w:t>a</w:t>
            </w:r>
            <w:r w:rsidR="00D31DB9">
              <w:rPr>
                <w:rStyle w:val="A4"/>
              </w:rPr>
              <w:t>M</w:t>
            </w:r>
            <w:r>
              <w:rPr>
                <w:rStyle w:val="A4"/>
              </w:rPr>
              <w:t>OR</w:t>
            </w:r>
            <w:proofErr w:type="spellEnd"/>
            <w:r>
              <w:rPr>
                <w:rStyle w:val="A4"/>
              </w:rPr>
              <w:t>=1.09, 1.00-1.77) and chronic phlegm (</w:t>
            </w:r>
            <w:proofErr w:type="spellStart"/>
            <w:r>
              <w:rPr>
                <w:rStyle w:val="A4"/>
              </w:rPr>
              <w:t>aOR</w:t>
            </w:r>
            <w:proofErr w:type="spellEnd"/>
            <w:r>
              <w:rPr>
                <w:rStyle w:val="A4"/>
              </w:rPr>
              <w:t xml:space="preserve">=1.07, 1.00-1.15). Aromatic solvents were associated with “chronic dry cough” (cumulative: </w:t>
            </w:r>
            <w:proofErr w:type="spellStart"/>
            <w:r>
              <w:rPr>
                <w:rStyle w:val="A4"/>
              </w:rPr>
              <w:t>aMOR</w:t>
            </w:r>
            <w:proofErr w:type="spellEnd"/>
            <w:r>
              <w:rPr>
                <w:rStyle w:val="A4"/>
              </w:rPr>
              <w:t xml:space="preserve">=1.15, 1.02-1.29). Other solvents were associated with “chronic productive cough” (high-level ever-exposure: </w:t>
            </w:r>
            <w:proofErr w:type="spellStart"/>
            <w:r>
              <w:rPr>
                <w:rStyle w:val="A4"/>
              </w:rPr>
              <w:t>aMOR</w:t>
            </w:r>
            <w:proofErr w:type="spellEnd"/>
            <w:r>
              <w:rPr>
                <w:rStyle w:val="A4"/>
              </w:rPr>
              <w:t>=2.81,1.26-6.2</w:t>
            </w:r>
            <w:r w:rsidR="00D31DB9">
              <w:rPr>
                <w:rStyle w:val="A4"/>
              </w:rPr>
              <w:t>0</w:t>
            </w:r>
            <w:r>
              <w:rPr>
                <w:rStyle w:val="A4"/>
              </w:rPr>
              <w:t xml:space="preserve">); </w:t>
            </w:r>
            <w:r w:rsidR="00D31DB9">
              <w:rPr>
                <w:rStyle w:val="A4"/>
              </w:rPr>
              <w:t>“</w:t>
            </w:r>
            <w:r>
              <w:rPr>
                <w:rStyle w:val="A4"/>
              </w:rPr>
              <w:t xml:space="preserve">chronic bronchitis (high-level ever-exposure: </w:t>
            </w:r>
            <w:proofErr w:type="spellStart"/>
            <w:r>
              <w:rPr>
                <w:rStyle w:val="A4"/>
              </w:rPr>
              <w:t>aOR</w:t>
            </w:r>
            <w:proofErr w:type="spellEnd"/>
            <w:r>
              <w:rPr>
                <w:rStyle w:val="A4"/>
              </w:rPr>
              <w:t xml:space="preserve">=2.48, 1.01-6.06); and chronic phlegm (high-level ever-exposure: </w:t>
            </w:r>
            <w:proofErr w:type="spellStart"/>
            <w:r>
              <w:rPr>
                <w:rStyle w:val="A4"/>
              </w:rPr>
              <w:t>aOR</w:t>
            </w:r>
            <w:proofErr w:type="spellEnd"/>
            <w:r>
              <w:rPr>
                <w:rStyle w:val="A4"/>
              </w:rPr>
              <w:t xml:space="preserve">=2.26, 1.14-4.51). </w:t>
            </w:r>
          </w:p>
          <w:p w14:paraId="3DB257D4" w14:textId="77777777" w:rsidR="00AD07D8" w:rsidRPr="00D31DB9" w:rsidRDefault="00AD07D8" w:rsidP="00D31DB9">
            <w:pPr>
              <w:pStyle w:val="Default"/>
            </w:pPr>
          </w:p>
          <w:p w14:paraId="51225B02" w14:textId="406A8BA2" w:rsidR="00D31DB9" w:rsidRPr="00D31DB9" w:rsidRDefault="00000000" w:rsidP="00D31DB9">
            <w:pPr>
              <w:pStyle w:val="Pa12"/>
              <w:rPr>
                <w:sz w:val="22"/>
                <w:szCs w:val="22"/>
                <w:lang w:val="en-AU"/>
              </w:rPr>
            </w:pPr>
            <w:r w:rsidRPr="00D31DB9">
              <w:rPr>
                <w:rStyle w:val="A4"/>
                <w:b/>
                <w:bCs/>
              </w:rPr>
              <w:t xml:space="preserve">Conclusion: </w:t>
            </w:r>
            <w:r w:rsidR="00D31DB9" w:rsidRPr="00D31DB9">
              <w:rPr>
                <w:sz w:val="22"/>
                <w:szCs w:val="22"/>
              </w:rPr>
              <w:t xml:space="preserve">Occupational history should be sought when assessing patients who present with a cough, with an emphasis on both the duration and other features of cough (i.e., dry, or productive, and allergic symptoms). </w:t>
            </w:r>
            <w:r w:rsidR="00D31DB9" w:rsidRPr="00D31DB9">
              <w:rPr>
                <w:sz w:val="22"/>
                <w:szCs w:val="22"/>
                <w:lang w:val="en-AU"/>
              </w:rPr>
              <w:t xml:space="preserve">Related occupational exposures, occupations, and cough features </w:t>
            </w:r>
            <w:proofErr w:type="gramStart"/>
            <w:r w:rsidR="00D31DB9" w:rsidRPr="00D31DB9">
              <w:rPr>
                <w:sz w:val="22"/>
                <w:szCs w:val="22"/>
                <w:lang w:val="en-AU"/>
              </w:rPr>
              <w:t>include</w:t>
            </w:r>
            <w:r w:rsidR="00D31DB9">
              <w:rPr>
                <w:sz w:val="22"/>
                <w:szCs w:val="22"/>
                <w:lang w:val="en-AU"/>
              </w:rPr>
              <w:t>:</w:t>
            </w:r>
            <w:proofErr w:type="gramEnd"/>
            <w:r w:rsidR="00D31DB9">
              <w:rPr>
                <w:sz w:val="22"/>
                <w:szCs w:val="22"/>
                <w:lang w:val="en-AU"/>
              </w:rPr>
              <w:t xml:space="preserve"> </w:t>
            </w:r>
            <w:r w:rsidR="00D31DB9" w:rsidRPr="00D31DB9">
              <w:rPr>
                <w:sz w:val="22"/>
                <w:szCs w:val="22"/>
                <w:lang w:val="en-AU"/>
              </w:rPr>
              <w:t>biological dust (building and trade workers, cleaners, mining, construction, and manufacturing labourers) and allergic cough; aromatic solvents (painting and construction labourers) and chronic dry cough; and herbicides (farmers), solvent types other than aromatic and chlorinated solvents (hairdressers, beauty therapists) and intermittent/chronic productive cough.</w:t>
            </w:r>
          </w:p>
          <w:p w14:paraId="1BF07110" w14:textId="77777777" w:rsidR="00AD07D8" w:rsidRDefault="00AD07D8">
            <w:pPr>
              <w:pStyle w:val="Pa12"/>
              <w:rPr>
                <w:rStyle w:val="A4"/>
                <w:b/>
                <w:bCs/>
              </w:rPr>
            </w:pPr>
          </w:p>
          <w:p w14:paraId="722E3DF6" w14:textId="79A7F1E7" w:rsidR="00AD07D8" w:rsidRDefault="00000000">
            <w:pPr>
              <w:pStyle w:val="Pa12"/>
              <w:rPr>
                <w:rStyle w:val="A4"/>
                <w:color w:val="auto"/>
              </w:rPr>
            </w:pPr>
            <w:r>
              <w:rPr>
                <w:rStyle w:val="A4"/>
                <w:b/>
                <w:bCs/>
              </w:rPr>
              <w:t xml:space="preserve">Grant Support: </w:t>
            </w:r>
            <w:r w:rsidRPr="00D31DB9">
              <w:rPr>
                <w:rStyle w:val="A4"/>
              </w:rPr>
              <w:t>NHMRC</w:t>
            </w:r>
            <w:r w:rsidR="00FD05DB">
              <w:rPr>
                <w:rStyle w:val="A4"/>
              </w:rPr>
              <w:t>.</w:t>
            </w:r>
          </w:p>
          <w:p w14:paraId="730C0DAF" w14:textId="77777777" w:rsidR="00AD07D8" w:rsidRDefault="00AD07D8">
            <w:pPr>
              <w:pStyle w:val="Default"/>
              <w:rPr>
                <w:rStyle w:val="A4"/>
                <w:bCs/>
              </w:rPr>
            </w:pPr>
          </w:p>
          <w:p w14:paraId="3075F493" w14:textId="77777777" w:rsidR="00AD07D8" w:rsidRDefault="00000000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52C2E35E" w14:textId="77777777" w:rsidR="00AD07D8" w:rsidRDefault="00AD07D8"/>
    <w:sectPr w:rsidR="00AD07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tlas Grotesk Regular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B5D49"/>
    <w:multiLevelType w:val="hybridMultilevel"/>
    <w:tmpl w:val="B2DC3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1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D8"/>
    <w:rsid w:val="00A07EAE"/>
    <w:rsid w:val="00AD07D8"/>
    <w:rsid w:val="00D31DB9"/>
    <w:rsid w:val="00FD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4A90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="SimSun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pPr>
      <w:spacing w:line="241" w:lineRule="atLeast"/>
    </w:pPr>
    <w:rPr>
      <w:color w:val="auto"/>
    </w:rPr>
  </w:style>
  <w:style w:type="paragraph" w:customStyle="1" w:styleId="Maintext">
    <w:name w:val="Main text"/>
    <w:basedOn w:val="Normal"/>
    <w:link w:val="MaintextChar"/>
    <w:qFormat/>
    <w:pPr>
      <w:spacing w:before="240" w:line="360" w:lineRule="auto"/>
    </w:pPr>
    <w:rPr>
      <w:rFonts w:eastAsiaTheme="minorEastAsia" w:cstheme="minorBidi"/>
      <w:szCs w:val="22"/>
      <w:lang w:val="en-AU" w:eastAsia="zh-CN"/>
    </w:rPr>
  </w:style>
  <w:style w:type="character" w:customStyle="1" w:styleId="MaintextChar">
    <w:name w:val="Main text Char"/>
    <w:basedOn w:val="DefaultParagraphFont"/>
    <w:link w:val="Maintext"/>
    <w:rPr>
      <w:rFonts w:ascii="Times New Roman" w:eastAsiaTheme="minorEastAsia" w:hAnsi="Times New Roman"/>
      <w:sz w:val="24"/>
      <w:szCs w:val="22"/>
      <w:lang w:val="en-AU" w:eastAsia="zh-CN"/>
    </w:rPr>
  </w:style>
  <w:style w:type="paragraph" w:styleId="CommentText">
    <w:name w:val="annotation text"/>
    <w:basedOn w:val="Normal"/>
    <w:link w:val="CommentTextChar"/>
    <w:uiPriority w:val="99"/>
    <w:unhideWhenUsed/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inorHAnsi" w:eastAsiaTheme="minorEastAsia" w:hAnsiTheme="minorHAnsi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612</Words>
  <Characters>3627</Characters>
  <Application>Microsoft Office Word</Application>
  <DocSecurity>0</DocSecurity>
  <Lines>58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Jingwen Zhang</cp:lastModifiedBy>
  <cp:revision>4</cp:revision>
  <dcterms:created xsi:type="dcterms:W3CDTF">2023-10-18T21:55:00Z</dcterms:created>
  <dcterms:modified xsi:type="dcterms:W3CDTF">2023-10-19T04:23:00Z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