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EFA4" w14:textId="311F05F4" w:rsidR="001C44E3" w:rsidRPr="0026459B" w:rsidRDefault="00D81E2B" w:rsidP="000B046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6459B">
        <w:rPr>
          <w:rFonts w:ascii="Arial" w:hAnsi="Arial" w:cs="Arial"/>
          <w:b/>
          <w:bCs/>
          <w:sz w:val="22"/>
          <w:szCs w:val="22"/>
        </w:rPr>
        <w:t xml:space="preserve">Higher </w:t>
      </w:r>
      <w:r w:rsidR="001C44E3" w:rsidRPr="0026459B">
        <w:rPr>
          <w:rFonts w:ascii="Arial" w:hAnsi="Arial" w:cs="Arial"/>
          <w:b/>
          <w:bCs/>
          <w:sz w:val="22"/>
          <w:szCs w:val="22"/>
        </w:rPr>
        <w:t xml:space="preserve">HbA1c following </w:t>
      </w:r>
      <w:r w:rsidRPr="0026459B">
        <w:rPr>
          <w:rFonts w:ascii="Arial" w:hAnsi="Arial" w:cs="Arial"/>
          <w:b/>
          <w:bCs/>
          <w:sz w:val="22"/>
          <w:szCs w:val="22"/>
        </w:rPr>
        <w:t xml:space="preserve">younger </w:t>
      </w:r>
      <w:r w:rsidR="001C44E3" w:rsidRPr="0026459B">
        <w:rPr>
          <w:rFonts w:ascii="Arial" w:hAnsi="Arial" w:cs="Arial"/>
          <w:b/>
          <w:bCs/>
          <w:sz w:val="22"/>
          <w:szCs w:val="22"/>
        </w:rPr>
        <w:t>age of transfer from p</w:t>
      </w:r>
      <w:r w:rsidR="00B77125" w:rsidRPr="0026459B">
        <w:rPr>
          <w:rFonts w:ascii="Arial" w:hAnsi="Arial" w:cs="Arial"/>
          <w:b/>
          <w:bCs/>
          <w:sz w:val="22"/>
          <w:szCs w:val="22"/>
        </w:rPr>
        <w:t>a</w:t>
      </w:r>
      <w:r w:rsidR="001C44E3" w:rsidRPr="0026459B">
        <w:rPr>
          <w:rFonts w:ascii="Arial" w:hAnsi="Arial" w:cs="Arial"/>
          <w:b/>
          <w:bCs/>
          <w:sz w:val="22"/>
          <w:szCs w:val="22"/>
        </w:rPr>
        <w:t>ediatric to adult type 1 diabetes services: Data from the Australasian Diabetes Data Network (ADDN) registry</w:t>
      </w:r>
    </w:p>
    <w:p w14:paraId="46F149D9" w14:textId="77777777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60FC39C" w14:textId="66A74843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b/>
          <w:bCs/>
          <w:sz w:val="22"/>
          <w:szCs w:val="22"/>
        </w:rPr>
        <w:t>Aim</w:t>
      </w:r>
    </w:p>
    <w:p w14:paraId="33D7884C" w14:textId="6DECD170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sz w:val="22"/>
          <w:szCs w:val="22"/>
        </w:rPr>
        <w:t xml:space="preserve">We examined </w:t>
      </w:r>
      <w:r w:rsidR="00B77125" w:rsidRPr="0026459B">
        <w:rPr>
          <w:rFonts w:ascii="Arial" w:hAnsi="Arial" w:cs="Arial"/>
          <w:sz w:val="22"/>
          <w:szCs w:val="22"/>
        </w:rPr>
        <w:t xml:space="preserve">early vs. late (&lt; vs. &gt; 18 years) age of </w:t>
      </w:r>
      <w:r w:rsidRPr="0026459B">
        <w:rPr>
          <w:rFonts w:ascii="Arial" w:hAnsi="Arial" w:cs="Arial"/>
          <w:sz w:val="22"/>
          <w:szCs w:val="22"/>
        </w:rPr>
        <w:t>transfer from p</w:t>
      </w:r>
      <w:r w:rsidR="00B77125" w:rsidRPr="0026459B">
        <w:rPr>
          <w:rFonts w:ascii="Arial" w:hAnsi="Arial" w:cs="Arial"/>
          <w:sz w:val="22"/>
          <w:szCs w:val="22"/>
        </w:rPr>
        <w:t>a</w:t>
      </w:r>
      <w:r w:rsidRPr="0026459B">
        <w:rPr>
          <w:rFonts w:ascii="Arial" w:hAnsi="Arial" w:cs="Arial"/>
          <w:sz w:val="22"/>
          <w:szCs w:val="22"/>
        </w:rPr>
        <w:t>ediatric to adult type 1 diabetes services</w:t>
      </w:r>
      <w:r w:rsidR="009900C5" w:rsidRPr="0026459B">
        <w:rPr>
          <w:rFonts w:ascii="Arial" w:hAnsi="Arial" w:cs="Arial"/>
          <w:sz w:val="22"/>
          <w:szCs w:val="22"/>
        </w:rPr>
        <w:t>, and factors associated with HbA1c in adult services.</w:t>
      </w:r>
    </w:p>
    <w:p w14:paraId="781FA3F8" w14:textId="77777777" w:rsidR="000B0463" w:rsidRDefault="000B0463" w:rsidP="000B046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97267D4" w14:textId="66D4431D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b/>
          <w:bCs/>
          <w:sz w:val="22"/>
          <w:szCs w:val="22"/>
        </w:rPr>
        <w:t>Methods</w:t>
      </w:r>
    </w:p>
    <w:p w14:paraId="2D854E48" w14:textId="7FC543D8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sz w:val="22"/>
          <w:szCs w:val="22"/>
        </w:rPr>
        <w:t>Data on transitioned youth in Australia (2013-2022) were accessed from the Australasian Diabetes Data Network registry; stratified and compared by age group at last p</w:t>
      </w:r>
      <w:r w:rsidR="00B77125" w:rsidRPr="0026459B">
        <w:rPr>
          <w:rFonts w:ascii="Arial" w:hAnsi="Arial" w:cs="Arial"/>
          <w:sz w:val="22"/>
          <w:szCs w:val="22"/>
        </w:rPr>
        <w:t>a</w:t>
      </w:r>
      <w:r w:rsidRPr="0026459B">
        <w:rPr>
          <w:rFonts w:ascii="Arial" w:hAnsi="Arial" w:cs="Arial"/>
          <w:sz w:val="22"/>
          <w:szCs w:val="22"/>
        </w:rPr>
        <w:t>ediatric visit.</w:t>
      </w:r>
      <w:r w:rsidR="00323398" w:rsidRPr="0026459B">
        <w:rPr>
          <w:rFonts w:ascii="Arial" w:hAnsi="Arial" w:cs="Arial"/>
          <w:sz w:val="22"/>
          <w:szCs w:val="22"/>
        </w:rPr>
        <w:t xml:space="preserve"> Multivariable g</w:t>
      </w:r>
      <w:r w:rsidRPr="0026459B">
        <w:rPr>
          <w:rFonts w:ascii="Arial" w:hAnsi="Arial" w:cs="Arial"/>
          <w:sz w:val="22"/>
          <w:szCs w:val="22"/>
        </w:rPr>
        <w:t xml:space="preserve">eneralised estimated equations (GEE) </w:t>
      </w:r>
      <w:r w:rsidR="00D81E2B" w:rsidRPr="0026459B">
        <w:rPr>
          <w:rFonts w:ascii="Arial" w:hAnsi="Arial" w:cs="Arial"/>
          <w:sz w:val="22"/>
          <w:szCs w:val="22"/>
        </w:rPr>
        <w:t xml:space="preserve">were used </w:t>
      </w:r>
      <w:r w:rsidRPr="0026459B">
        <w:rPr>
          <w:rFonts w:ascii="Arial" w:hAnsi="Arial" w:cs="Arial"/>
          <w:sz w:val="22"/>
          <w:szCs w:val="22"/>
        </w:rPr>
        <w:t>to model factors associated with HbA1c in adult services</w:t>
      </w:r>
      <w:r w:rsidR="00323398" w:rsidRPr="0026459B">
        <w:rPr>
          <w:rFonts w:ascii="Arial" w:hAnsi="Arial" w:cs="Arial"/>
          <w:sz w:val="22"/>
          <w:szCs w:val="22"/>
        </w:rPr>
        <w:t xml:space="preserve">, using backward </w:t>
      </w:r>
      <w:r w:rsidR="003C4F1A" w:rsidRPr="0026459B">
        <w:rPr>
          <w:rFonts w:ascii="Arial" w:hAnsi="Arial" w:cs="Arial"/>
          <w:sz w:val="22"/>
          <w:szCs w:val="22"/>
        </w:rPr>
        <w:t xml:space="preserve">consecutive </w:t>
      </w:r>
      <w:r w:rsidR="00323398" w:rsidRPr="0026459B">
        <w:rPr>
          <w:rFonts w:ascii="Arial" w:hAnsi="Arial" w:cs="Arial"/>
          <w:sz w:val="22"/>
          <w:szCs w:val="22"/>
        </w:rPr>
        <w:t>elimination</w:t>
      </w:r>
      <w:r w:rsidRPr="0026459B">
        <w:rPr>
          <w:rFonts w:ascii="Arial" w:hAnsi="Arial" w:cs="Arial"/>
          <w:sz w:val="22"/>
          <w:szCs w:val="22"/>
        </w:rPr>
        <w:t>.</w:t>
      </w:r>
      <w:r w:rsidR="002A4EB1" w:rsidRPr="0026459B">
        <w:rPr>
          <w:rFonts w:ascii="Arial" w:hAnsi="Arial" w:cs="Arial"/>
          <w:sz w:val="22"/>
          <w:szCs w:val="22"/>
        </w:rPr>
        <w:t xml:space="preserve"> </w:t>
      </w:r>
      <w:r w:rsidR="00323398" w:rsidRPr="0026459B">
        <w:rPr>
          <w:rFonts w:ascii="Arial" w:hAnsi="Arial" w:cs="Arial"/>
          <w:sz w:val="22"/>
          <w:szCs w:val="22"/>
          <w:lang w:val="en-US"/>
        </w:rPr>
        <w:t xml:space="preserve">Explanatory variables were </w:t>
      </w:r>
      <w:r w:rsidR="00323398" w:rsidRPr="0026459B">
        <w:rPr>
          <w:rFonts w:ascii="Arial" w:hAnsi="Arial" w:cs="Arial"/>
          <w:sz w:val="22"/>
          <w:szCs w:val="22"/>
        </w:rPr>
        <w:t xml:space="preserve">age group at transfer, age at visit, sex, </w:t>
      </w:r>
      <w:r w:rsidR="009900C5" w:rsidRPr="0026459B">
        <w:rPr>
          <w:rFonts w:ascii="Arial" w:hAnsi="Arial" w:cs="Arial"/>
          <w:sz w:val="22"/>
          <w:szCs w:val="22"/>
        </w:rPr>
        <w:t xml:space="preserve">type 1 diabetes </w:t>
      </w:r>
      <w:r w:rsidR="00323398" w:rsidRPr="0026459B">
        <w:rPr>
          <w:rFonts w:ascii="Arial" w:hAnsi="Arial" w:cs="Arial"/>
          <w:sz w:val="22"/>
          <w:szCs w:val="22"/>
        </w:rPr>
        <w:t>duration,</w:t>
      </w:r>
      <w:r w:rsidR="003C4F1A" w:rsidRPr="0026459B">
        <w:rPr>
          <w:rFonts w:ascii="Arial" w:hAnsi="Arial" w:cs="Arial"/>
          <w:sz w:val="22"/>
          <w:szCs w:val="22"/>
        </w:rPr>
        <w:t xml:space="preserve"> mean </w:t>
      </w:r>
      <w:r w:rsidR="00960AD3" w:rsidRPr="0026459B">
        <w:rPr>
          <w:rFonts w:ascii="Arial" w:hAnsi="Arial" w:cs="Arial"/>
          <w:sz w:val="22"/>
          <w:szCs w:val="22"/>
        </w:rPr>
        <w:t xml:space="preserve">paediatric </w:t>
      </w:r>
      <w:r w:rsidR="003C4F1A" w:rsidRPr="0026459B">
        <w:rPr>
          <w:rFonts w:ascii="Arial" w:hAnsi="Arial" w:cs="Arial"/>
          <w:sz w:val="22"/>
          <w:szCs w:val="22"/>
        </w:rPr>
        <w:t xml:space="preserve">HbA1c in the 36 months prior to transfer, </w:t>
      </w:r>
      <w:r w:rsidR="00323398" w:rsidRPr="0026459B">
        <w:rPr>
          <w:rFonts w:ascii="Arial" w:hAnsi="Arial" w:cs="Arial"/>
          <w:sz w:val="22"/>
          <w:szCs w:val="22"/>
        </w:rPr>
        <w:t>insulin pump use, socioeconomic status, and consultation gap between last paediatric and first adult visit.</w:t>
      </w:r>
    </w:p>
    <w:p w14:paraId="39482083" w14:textId="77777777" w:rsidR="000B0463" w:rsidRDefault="000B0463" w:rsidP="000B046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7A4CBA" w14:textId="70E26BA2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b/>
          <w:bCs/>
          <w:sz w:val="22"/>
          <w:szCs w:val="22"/>
        </w:rPr>
        <w:t>Results</w:t>
      </w:r>
    </w:p>
    <w:p w14:paraId="7CE99E38" w14:textId="10E2CE1C" w:rsidR="001C44E3" w:rsidRPr="0026459B" w:rsidRDefault="00FE40F8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sz w:val="22"/>
          <w:szCs w:val="22"/>
        </w:rPr>
        <w:t xml:space="preserve">Overall, </w:t>
      </w:r>
      <w:r w:rsidR="001C44E3" w:rsidRPr="0026459B">
        <w:rPr>
          <w:rFonts w:ascii="Arial" w:hAnsi="Arial" w:cs="Arial"/>
          <w:sz w:val="22"/>
          <w:szCs w:val="22"/>
        </w:rPr>
        <w:t>784 (4</w:t>
      </w:r>
      <w:r w:rsidR="00E71B73" w:rsidRPr="0026459B">
        <w:rPr>
          <w:rFonts w:ascii="Arial" w:hAnsi="Arial" w:cs="Arial"/>
          <w:sz w:val="22"/>
          <w:szCs w:val="22"/>
        </w:rPr>
        <w:t>9.7</w:t>
      </w:r>
      <w:r w:rsidR="001C44E3" w:rsidRPr="0026459B">
        <w:rPr>
          <w:rFonts w:ascii="Arial" w:hAnsi="Arial" w:cs="Arial"/>
          <w:sz w:val="22"/>
          <w:szCs w:val="22"/>
        </w:rPr>
        <w:t>% male) transitioned youth</w:t>
      </w:r>
      <w:r w:rsidRPr="0026459B">
        <w:rPr>
          <w:rFonts w:ascii="Arial" w:hAnsi="Arial" w:cs="Arial"/>
          <w:sz w:val="22"/>
          <w:szCs w:val="22"/>
        </w:rPr>
        <w:t xml:space="preserve"> were identified</w:t>
      </w:r>
      <w:r w:rsidR="001C44E3" w:rsidRPr="0026459B">
        <w:rPr>
          <w:rFonts w:ascii="Arial" w:hAnsi="Arial" w:cs="Arial"/>
          <w:sz w:val="22"/>
          <w:szCs w:val="22"/>
        </w:rPr>
        <w:t xml:space="preserve">. </w:t>
      </w:r>
      <w:r w:rsidR="003C4F1A" w:rsidRPr="0026459B">
        <w:rPr>
          <w:rFonts w:ascii="Arial" w:hAnsi="Arial" w:cs="Arial"/>
          <w:sz w:val="22"/>
          <w:szCs w:val="22"/>
        </w:rPr>
        <w:t>At the last paediatric visit, e</w:t>
      </w:r>
      <w:r w:rsidR="00B77125" w:rsidRPr="0026459B">
        <w:rPr>
          <w:rFonts w:ascii="Arial" w:hAnsi="Arial" w:cs="Arial"/>
          <w:sz w:val="22"/>
          <w:szCs w:val="22"/>
        </w:rPr>
        <w:t>arly transferers</w:t>
      </w:r>
      <w:r w:rsidR="001C44E3" w:rsidRPr="0026459B">
        <w:rPr>
          <w:rFonts w:ascii="Arial" w:hAnsi="Arial" w:cs="Arial"/>
          <w:sz w:val="22"/>
          <w:szCs w:val="22"/>
        </w:rPr>
        <w:t xml:space="preserve"> had higher HbA1c (</w:t>
      </w:r>
      <w:r w:rsidR="00D81E2B" w:rsidRPr="0026459B">
        <w:rPr>
          <w:rFonts w:ascii="Arial" w:hAnsi="Arial" w:cs="Arial"/>
          <w:sz w:val="22"/>
          <w:szCs w:val="22"/>
        </w:rPr>
        <w:t xml:space="preserve">8.9±1.9 [74.0±21.1] vs. 8.6±1.8% [70.0±19.7mmol/mol], </w:t>
      </w:r>
      <w:r w:rsidR="001C44E3" w:rsidRPr="0026459B">
        <w:rPr>
          <w:rFonts w:ascii="Arial" w:hAnsi="Arial" w:cs="Arial"/>
          <w:sz w:val="22"/>
          <w:szCs w:val="22"/>
        </w:rPr>
        <w:t>p=0.01)</w:t>
      </w:r>
      <w:r w:rsidR="003C4F1A" w:rsidRPr="0026459B">
        <w:rPr>
          <w:rFonts w:ascii="Arial" w:hAnsi="Arial" w:cs="Arial"/>
          <w:sz w:val="22"/>
          <w:szCs w:val="22"/>
        </w:rPr>
        <w:t>. M</w:t>
      </w:r>
      <w:r w:rsidR="001C44E3" w:rsidRPr="0026459B">
        <w:rPr>
          <w:rFonts w:ascii="Arial" w:hAnsi="Arial" w:cs="Arial"/>
          <w:sz w:val="22"/>
          <w:szCs w:val="22"/>
        </w:rPr>
        <w:t xml:space="preserve">edian </w:t>
      </w:r>
      <w:r w:rsidR="00D81E2B" w:rsidRPr="0026459B">
        <w:rPr>
          <w:rFonts w:ascii="Arial" w:hAnsi="Arial" w:cs="Arial"/>
          <w:sz w:val="22"/>
          <w:szCs w:val="22"/>
        </w:rPr>
        <w:t>(25</w:t>
      </w:r>
      <w:r w:rsidR="00D81E2B" w:rsidRPr="0026459B">
        <w:rPr>
          <w:rFonts w:ascii="Arial" w:hAnsi="Arial" w:cs="Arial"/>
          <w:sz w:val="22"/>
          <w:szCs w:val="22"/>
          <w:vertAlign w:val="superscript"/>
        </w:rPr>
        <w:t>th</w:t>
      </w:r>
      <w:r w:rsidR="00D81E2B" w:rsidRPr="0026459B">
        <w:rPr>
          <w:rFonts w:ascii="Arial" w:hAnsi="Arial" w:cs="Arial"/>
          <w:sz w:val="22"/>
          <w:szCs w:val="22"/>
        </w:rPr>
        <w:t>, 75</w:t>
      </w:r>
      <w:r w:rsidR="00D81E2B" w:rsidRPr="0026459B">
        <w:rPr>
          <w:rFonts w:ascii="Arial" w:hAnsi="Arial" w:cs="Arial"/>
          <w:sz w:val="22"/>
          <w:szCs w:val="22"/>
          <w:vertAlign w:val="superscript"/>
        </w:rPr>
        <w:t>th</w:t>
      </w:r>
      <w:r w:rsidR="00D81E2B" w:rsidRPr="0026459B">
        <w:rPr>
          <w:rFonts w:ascii="Arial" w:hAnsi="Arial" w:cs="Arial"/>
          <w:sz w:val="22"/>
          <w:szCs w:val="22"/>
        </w:rPr>
        <w:t xml:space="preserve"> percentile) </w:t>
      </w:r>
      <w:r w:rsidR="001C44E3" w:rsidRPr="0026459B">
        <w:rPr>
          <w:rFonts w:ascii="Arial" w:hAnsi="Arial" w:cs="Arial"/>
          <w:sz w:val="22"/>
          <w:szCs w:val="22"/>
        </w:rPr>
        <w:t>consultation gap between last p</w:t>
      </w:r>
      <w:r w:rsidR="00B77125" w:rsidRPr="0026459B">
        <w:rPr>
          <w:rFonts w:ascii="Arial" w:hAnsi="Arial" w:cs="Arial"/>
          <w:sz w:val="22"/>
          <w:szCs w:val="22"/>
        </w:rPr>
        <w:t>a</w:t>
      </w:r>
      <w:r w:rsidR="001C44E3" w:rsidRPr="0026459B">
        <w:rPr>
          <w:rFonts w:ascii="Arial" w:hAnsi="Arial" w:cs="Arial"/>
          <w:sz w:val="22"/>
          <w:szCs w:val="22"/>
        </w:rPr>
        <w:t xml:space="preserve">ediatric and first adult visit </w:t>
      </w:r>
      <w:r w:rsidR="003C4F1A" w:rsidRPr="0026459B">
        <w:rPr>
          <w:rFonts w:ascii="Arial" w:hAnsi="Arial" w:cs="Arial"/>
          <w:sz w:val="22"/>
          <w:szCs w:val="22"/>
        </w:rPr>
        <w:t xml:space="preserve">was longer </w:t>
      </w:r>
      <w:r w:rsidR="00F60FD4" w:rsidRPr="0026459B">
        <w:rPr>
          <w:rFonts w:ascii="Arial" w:hAnsi="Arial" w:cs="Arial"/>
          <w:sz w:val="22"/>
          <w:szCs w:val="22"/>
        </w:rPr>
        <w:t>amongst early transferers</w:t>
      </w:r>
      <w:r w:rsidR="003C4F1A" w:rsidRPr="0026459B">
        <w:rPr>
          <w:rFonts w:ascii="Arial" w:hAnsi="Arial" w:cs="Arial"/>
          <w:sz w:val="22"/>
          <w:szCs w:val="22"/>
        </w:rPr>
        <w:t xml:space="preserve"> </w:t>
      </w:r>
      <w:r w:rsidR="00D81E2B" w:rsidRPr="0026459B">
        <w:rPr>
          <w:rFonts w:ascii="Arial" w:hAnsi="Arial" w:cs="Arial"/>
          <w:sz w:val="22"/>
          <w:szCs w:val="22"/>
        </w:rPr>
        <w:t>(13.5 (5.5, 28.0)</w:t>
      </w:r>
      <w:r w:rsidR="00322243" w:rsidRPr="0026459B">
        <w:rPr>
          <w:rFonts w:ascii="Arial" w:hAnsi="Arial" w:cs="Arial"/>
          <w:sz w:val="22"/>
          <w:szCs w:val="22"/>
        </w:rPr>
        <w:t xml:space="preserve"> </w:t>
      </w:r>
      <w:r w:rsidR="00D81E2B" w:rsidRPr="0026459B">
        <w:rPr>
          <w:rFonts w:ascii="Arial" w:hAnsi="Arial" w:cs="Arial"/>
          <w:sz w:val="22"/>
          <w:szCs w:val="22"/>
        </w:rPr>
        <w:t>vs. 8.1</w:t>
      </w:r>
      <w:r w:rsidR="00322243" w:rsidRPr="0026459B">
        <w:rPr>
          <w:rFonts w:ascii="Arial" w:hAnsi="Arial" w:cs="Arial"/>
          <w:sz w:val="22"/>
          <w:szCs w:val="22"/>
        </w:rPr>
        <w:t xml:space="preserve"> </w:t>
      </w:r>
      <w:r w:rsidR="00D81E2B" w:rsidRPr="0026459B">
        <w:rPr>
          <w:rFonts w:ascii="Arial" w:hAnsi="Arial" w:cs="Arial"/>
          <w:sz w:val="22"/>
          <w:szCs w:val="22"/>
        </w:rPr>
        <w:t>(3.7, 23.8)</w:t>
      </w:r>
      <w:r w:rsidR="00322243" w:rsidRPr="0026459B">
        <w:rPr>
          <w:rFonts w:ascii="Arial" w:hAnsi="Arial" w:cs="Arial"/>
          <w:sz w:val="22"/>
          <w:szCs w:val="22"/>
        </w:rPr>
        <w:t xml:space="preserve"> months</w:t>
      </w:r>
      <w:r w:rsidR="005E7578" w:rsidRPr="0026459B">
        <w:rPr>
          <w:rFonts w:ascii="Arial" w:hAnsi="Arial" w:cs="Arial"/>
          <w:sz w:val="22"/>
          <w:szCs w:val="22"/>
        </w:rPr>
        <w:t xml:space="preserve">, </w:t>
      </w:r>
      <w:r w:rsidR="001C44E3" w:rsidRPr="0026459B">
        <w:rPr>
          <w:rFonts w:ascii="Arial" w:hAnsi="Arial" w:cs="Arial"/>
          <w:sz w:val="22"/>
          <w:szCs w:val="22"/>
        </w:rPr>
        <w:t>p&lt;0.001)</w:t>
      </w:r>
      <w:r w:rsidR="00F60FD4" w:rsidRPr="0026459B">
        <w:rPr>
          <w:rFonts w:ascii="Arial" w:hAnsi="Arial" w:cs="Arial"/>
          <w:sz w:val="22"/>
          <w:szCs w:val="22"/>
        </w:rPr>
        <w:t>, and at</w:t>
      </w:r>
      <w:r w:rsidR="003C4F1A" w:rsidRPr="0026459B">
        <w:rPr>
          <w:rFonts w:ascii="Arial" w:hAnsi="Arial" w:cs="Arial"/>
          <w:sz w:val="22"/>
          <w:szCs w:val="22"/>
        </w:rPr>
        <w:t xml:space="preserve"> the first adult visit </w:t>
      </w:r>
      <w:r w:rsidR="00F60FD4" w:rsidRPr="0026459B">
        <w:rPr>
          <w:rFonts w:ascii="Arial" w:hAnsi="Arial" w:cs="Arial"/>
          <w:sz w:val="22"/>
          <w:szCs w:val="22"/>
        </w:rPr>
        <w:t>they</w:t>
      </w:r>
      <w:r w:rsidR="001C44E3" w:rsidRPr="0026459B">
        <w:rPr>
          <w:rFonts w:ascii="Arial" w:hAnsi="Arial" w:cs="Arial"/>
          <w:sz w:val="22"/>
          <w:szCs w:val="22"/>
        </w:rPr>
        <w:t xml:space="preserve"> had</w:t>
      </w:r>
      <w:r w:rsidR="00322243" w:rsidRPr="0026459B">
        <w:rPr>
          <w:rFonts w:ascii="Arial" w:hAnsi="Arial" w:cs="Arial"/>
          <w:sz w:val="22"/>
          <w:szCs w:val="22"/>
        </w:rPr>
        <w:t xml:space="preserve"> </w:t>
      </w:r>
      <w:r w:rsidR="003C4F1A" w:rsidRPr="0026459B">
        <w:rPr>
          <w:rFonts w:ascii="Arial" w:hAnsi="Arial" w:cs="Arial"/>
          <w:sz w:val="22"/>
          <w:szCs w:val="22"/>
        </w:rPr>
        <w:t>more socioeconomic disadvantage (</w:t>
      </w:r>
      <w:r w:rsidR="00F60FD4" w:rsidRPr="0026459B">
        <w:rPr>
          <w:rFonts w:ascii="Arial" w:hAnsi="Arial" w:cs="Arial"/>
          <w:sz w:val="22"/>
          <w:szCs w:val="22"/>
        </w:rPr>
        <w:t xml:space="preserve">score 976.8±101.7 vs. 992.8±81.1, </w:t>
      </w:r>
      <w:r w:rsidR="003C4F1A" w:rsidRPr="0026459B">
        <w:rPr>
          <w:rFonts w:ascii="Arial" w:hAnsi="Arial" w:cs="Arial"/>
          <w:sz w:val="22"/>
          <w:szCs w:val="22"/>
        </w:rPr>
        <w:t>p=0.03)</w:t>
      </w:r>
      <w:r w:rsidR="00F60FD4" w:rsidRPr="0026459B">
        <w:rPr>
          <w:rFonts w:ascii="Arial" w:hAnsi="Arial" w:cs="Arial"/>
          <w:sz w:val="22"/>
          <w:szCs w:val="22"/>
        </w:rPr>
        <w:t xml:space="preserve"> and again, </w:t>
      </w:r>
      <w:r w:rsidR="001C44E3" w:rsidRPr="0026459B">
        <w:rPr>
          <w:rFonts w:ascii="Arial" w:hAnsi="Arial" w:cs="Arial"/>
          <w:sz w:val="22"/>
          <w:szCs w:val="22"/>
        </w:rPr>
        <w:t xml:space="preserve">higher HbA1c </w:t>
      </w:r>
      <w:r w:rsidR="00322243" w:rsidRPr="0026459B">
        <w:rPr>
          <w:rFonts w:ascii="Arial" w:hAnsi="Arial" w:cs="Arial"/>
          <w:sz w:val="22"/>
          <w:szCs w:val="22"/>
        </w:rPr>
        <w:t>(9.3±1.9 (78.2±20.6) vs. 8.8±1.9% (72.9±20.4mmol/mol</w:t>
      </w:r>
      <w:r w:rsidR="005E7578" w:rsidRPr="0026459B">
        <w:rPr>
          <w:rFonts w:ascii="Arial" w:hAnsi="Arial" w:cs="Arial"/>
          <w:sz w:val="22"/>
          <w:szCs w:val="22"/>
        </w:rPr>
        <w:t>)</w:t>
      </w:r>
      <w:r w:rsidR="00B77125" w:rsidRPr="0026459B">
        <w:rPr>
          <w:rFonts w:ascii="Arial" w:hAnsi="Arial" w:cs="Arial"/>
          <w:sz w:val="22"/>
          <w:szCs w:val="22"/>
        </w:rPr>
        <w:t>,</w:t>
      </w:r>
      <w:r w:rsidR="00322243" w:rsidRPr="0026459B">
        <w:rPr>
          <w:rFonts w:ascii="Arial" w:hAnsi="Arial" w:cs="Arial"/>
          <w:sz w:val="22"/>
          <w:szCs w:val="22"/>
        </w:rPr>
        <w:t xml:space="preserve"> </w:t>
      </w:r>
      <w:r w:rsidR="001C44E3" w:rsidRPr="0026459B">
        <w:rPr>
          <w:rFonts w:ascii="Arial" w:hAnsi="Arial" w:cs="Arial"/>
          <w:sz w:val="22"/>
          <w:szCs w:val="22"/>
        </w:rPr>
        <w:t>p=0.01)</w:t>
      </w:r>
      <w:r w:rsidR="009900C5" w:rsidRPr="0026459B">
        <w:rPr>
          <w:rFonts w:ascii="Arial" w:hAnsi="Arial" w:cs="Arial"/>
          <w:sz w:val="22"/>
          <w:szCs w:val="22"/>
        </w:rPr>
        <w:t xml:space="preserve">. This was </w:t>
      </w:r>
      <w:r w:rsidR="001C44E3" w:rsidRPr="0026459B">
        <w:rPr>
          <w:rFonts w:ascii="Arial" w:hAnsi="Arial" w:cs="Arial"/>
          <w:sz w:val="22"/>
          <w:szCs w:val="22"/>
        </w:rPr>
        <w:t xml:space="preserve">despite proportionally more insulin pump use </w:t>
      </w:r>
      <w:r w:rsidR="00322243" w:rsidRPr="0026459B">
        <w:rPr>
          <w:rFonts w:ascii="Arial" w:hAnsi="Arial" w:cs="Arial"/>
          <w:sz w:val="22"/>
          <w:szCs w:val="22"/>
        </w:rPr>
        <w:t xml:space="preserve">(n=137 (45.7) vs. n=120 (37.0%), </w:t>
      </w:r>
      <w:r w:rsidR="001C44E3" w:rsidRPr="0026459B">
        <w:rPr>
          <w:rFonts w:ascii="Arial" w:hAnsi="Arial" w:cs="Arial"/>
          <w:sz w:val="22"/>
          <w:szCs w:val="22"/>
        </w:rPr>
        <w:t>p=0.03).</w:t>
      </w:r>
    </w:p>
    <w:p w14:paraId="48F134CA" w14:textId="07A0B971" w:rsidR="003C4F1A" w:rsidRPr="0026459B" w:rsidRDefault="00E71B7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sz w:val="22"/>
          <w:szCs w:val="22"/>
        </w:rPr>
        <w:tab/>
      </w:r>
      <w:r w:rsidR="00323398" w:rsidRPr="0026459B">
        <w:rPr>
          <w:rFonts w:ascii="Arial" w:hAnsi="Arial" w:cs="Arial"/>
          <w:sz w:val="22"/>
          <w:szCs w:val="22"/>
        </w:rPr>
        <w:t>In</w:t>
      </w:r>
      <w:r w:rsidR="003C4F1A" w:rsidRPr="0026459B">
        <w:rPr>
          <w:rFonts w:ascii="Arial" w:hAnsi="Arial" w:cs="Arial"/>
          <w:sz w:val="22"/>
          <w:szCs w:val="22"/>
        </w:rPr>
        <w:t xml:space="preserve"> multivariable GEE, </w:t>
      </w:r>
      <w:r w:rsidR="001C44E3" w:rsidRPr="0026459B">
        <w:rPr>
          <w:rFonts w:ascii="Arial" w:hAnsi="Arial" w:cs="Arial"/>
          <w:sz w:val="22"/>
          <w:szCs w:val="22"/>
        </w:rPr>
        <w:t xml:space="preserve">higher HbA1c in adult services was associated with </w:t>
      </w:r>
      <w:r w:rsidR="00B77125" w:rsidRPr="0026459B">
        <w:rPr>
          <w:rFonts w:ascii="Arial" w:hAnsi="Arial" w:cs="Arial"/>
          <w:sz w:val="22"/>
          <w:szCs w:val="22"/>
        </w:rPr>
        <w:t>early transfer</w:t>
      </w:r>
      <w:r w:rsidRPr="0026459B">
        <w:rPr>
          <w:rFonts w:ascii="Arial" w:hAnsi="Arial" w:cs="Arial"/>
          <w:sz w:val="22"/>
          <w:szCs w:val="22"/>
        </w:rPr>
        <w:t xml:space="preserve"> </w:t>
      </w:r>
      <w:r w:rsidR="001C44E3" w:rsidRPr="0026459B">
        <w:rPr>
          <w:rFonts w:ascii="Arial" w:hAnsi="Arial" w:cs="Arial"/>
          <w:sz w:val="22"/>
          <w:szCs w:val="22"/>
        </w:rPr>
        <w:t>(p=0.02)</w:t>
      </w:r>
      <w:r w:rsidR="003C4F1A" w:rsidRPr="0026459B">
        <w:rPr>
          <w:rFonts w:ascii="Arial" w:hAnsi="Arial" w:cs="Arial"/>
          <w:sz w:val="22"/>
          <w:szCs w:val="22"/>
        </w:rPr>
        <w:t xml:space="preserve">, higher mean </w:t>
      </w:r>
      <w:r w:rsidR="00960AD3" w:rsidRPr="0026459B">
        <w:rPr>
          <w:rFonts w:ascii="Arial" w:hAnsi="Arial" w:cs="Arial"/>
          <w:sz w:val="22"/>
          <w:szCs w:val="22"/>
        </w:rPr>
        <w:t xml:space="preserve">paediatric </w:t>
      </w:r>
      <w:r w:rsidR="003C4F1A" w:rsidRPr="0026459B">
        <w:rPr>
          <w:rFonts w:ascii="Arial" w:hAnsi="Arial" w:cs="Arial"/>
          <w:sz w:val="22"/>
          <w:szCs w:val="22"/>
        </w:rPr>
        <w:t>HbA1c (p&lt;0.001), and lower socioeconomic status (p=0.04).</w:t>
      </w:r>
    </w:p>
    <w:p w14:paraId="5DAD07D3" w14:textId="77777777" w:rsidR="000B0463" w:rsidRDefault="000B0463" w:rsidP="000B0463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6DCBA1" w14:textId="1F140268" w:rsidR="001C44E3" w:rsidRPr="0026459B" w:rsidRDefault="001C44E3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b/>
          <w:bCs/>
          <w:sz w:val="22"/>
          <w:szCs w:val="22"/>
        </w:rPr>
        <w:t>Conclusions</w:t>
      </w:r>
    </w:p>
    <w:p w14:paraId="57790331" w14:textId="4AD7C593" w:rsidR="00E71B73" w:rsidRPr="0026459B" w:rsidRDefault="00B77125" w:rsidP="000B0463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6459B">
        <w:rPr>
          <w:rFonts w:ascii="Arial" w:hAnsi="Arial" w:cs="Arial"/>
          <w:sz w:val="22"/>
          <w:szCs w:val="22"/>
        </w:rPr>
        <w:t>Early transfer</w:t>
      </w:r>
      <w:r w:rsidR="001C44E3" w:rsidRPr="0026459B">
        <w:rPr>
          <w:rFonts w:ascii="Arial" w:hAnsi="Arial" w:cs="Arial"/>
          <w:sz w:val="22"/>
          <w:szCs w:val="22"/>
        </w:rPr>
        <w:t xml:space="preserve"> from p</w:t>
      </w:r>
      <w:r w:rsidRPr="0026459B">
        <w:rPr>
          <w:rFonts w:ascii="Arial" w:hAnsi="Arial" w:cs="Arial"/>
          <w:sz w:val="22"/>
          <w:szCs w:val="22"/>
        </w:rPr>
        <w:t>a</w:t>
      </w:r>
      <w:r w:rsidR="001C44E3" w:rsidRPr="0026459B">
        <w:rPr>
          <w:rFonts w:ascii="Arial" w:hAnsi="Arial" w:cs="Arial"/>
          <w:sz w:val="22"/>
          <w:szCs w:val="22"/>
        </w:rPr>
        <w:t xml:space="preserve">ediatric to adult </w:t>
      </w:r>
      <w:r w:rsidR="009900C5" w:rsidRPr="0026459B">
        <w:rPr>
          <w:rFonts w:ascii="Arial" w:hAnsi="Arial" w:cs="Arial"/>
          <w:sz w:val="22"/>
          <w:szCs w:val="22"/>
        </w:rPr>
        <w:t xml:space="preserve">type 1 diabetes </w:t>
      </w:r>
      <w:r w:rsidR="001C44E3" w:rsidRPr="0026459B">
        <w:rPr>
          <w:rFonts w:ascii="Arial" w:hAnsi="Arial" w:cs="Arial"/>
          <w:sz w:val="22"/>
          <w:szCs w:val="22"/>
        </w:rPr>
        <w:t xml:space="preserve">services was associated with </w:t>
      </w:r>
      <w:r w:rsidR="00FE40F8" w:rsidRPr="0026459B">
        <w:rPr>
          <w:rFonts w:ascii="Arial" w:hAnsi="Arial" w:cs="Arial"/>
          <w:sz w:val="22"/>
          <w:szCs w:val="22"/>
        </w:rPr>
        <w:t>higher</w:t>
      </w:r>
      <w:r w:rsidR="001C44E3" w:rsidRPr="0026459B">
        <w:rPr>
          <w:rFonts w:ascii="Arial" w:hAnsi="Arial" w:cs="Arial"/>
          <w:sz w:val="22"/>
          <w:szCs w:val="22"/>
        </w:rPr>
        <w:t xml:space="preserve"> HbA1c in real-world settings. Findings should be interpreted in the context of other international models to understand optimal transfer timing.</w:t>
      </w:r>
    </w:p>
    <w:sectPr w:rsidR="00E71B73" w:rsidRPr="00264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56"/>
    <w:rsid w:val="000B0463"/>
    <w:rsid w:val="001362E5"/>
    <w:rsid w:val="001B0D3D"/>
    <w:rsid w:val="001C44E3"/>
    <w:rsid w:val="0026459B"/>
    <w:rsid w:val="002A4EB1"/>
    <w:rsid w:val="00322243"/>
    <w:rsid w:val="00323398"/>
    <w:rsid w:val="003357AA"/>
    <w:rsid w:val="00355103"/>
    <w:rsid w:val="003C4F1A"/>
    <w:rsid w:val="00503754"/>
    <w:rsid w:val="0057193E"/>
    <w:rsid w:val="00574F56"/>
    <w:rsid w:val="005E7578"/>
    <w:rsid w:val="00652879"/>
    <w:rsid w:val="006562A2"/>
    <w:rsid w:val="006D014A"/>
    <w:rsid w:val="006F5430"/>
    <w:rsid w:val="00702A2B"/>
    <w:rsid w:val="00736BCF"/>
    <w:rsid w:val="007C41D0"/>
    <w:rsid w:val="008446E7"/>
    <w:rsid w:val="008B45C4"/>
    <w:rsid w:val="009462F1"/>
    <w:rsid w:val="00960AD3"/>
    <w:rsid w:val="009900C5"/>
    <w:rsid w:val="009B2B03"/>
    <w:rsid w:val="00A41B4F"/>
    <w:rsid w:val="00B77125"/>
    <w:rsid w:val="00B97EBD"/>
    <w:rsid w:val="00BE5418"/>
    <w:rsid w:val="00C34FBF"/>
    <w:rsid w:val="00D1304F"/>
    <w:rsid w:val="00D62BD3"/>
    <w:rsid w:val="00D71BF9"/>
    <w:rsid w:val="00D81E2B"/>
    <w:rsid w:val="00E018D4"/>
    <w:rsid w:val="00E5205B"/>
    <w:rsid w:val="00E71B73"/>
    <w:rsid w:val="00F60FD4"/>
    <w:rsid w:val="00FE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151F"/>
  <w15:chartTrackingRefBased/>
  <w15:docId w15:val="{352080D9-FDC9-46AB-AD59-645F902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F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F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F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F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F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F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F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F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F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F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F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4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4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44E3"/>
    <w:pPr>
      <w:spacing w:after="0" w:line="240" w:lineRule="auto"/>
    </w:pPr>
    <w:rPr>
      <w:rFonts w:eastAsiaTheme="minorEastAsia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44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1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B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9CD1F-9490-499A-B1B3-ED8FB3735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A382B-2A3E-47F9-A953-646F35754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7B724-0B92-4161-9D63-0853628A34A8}">
  <ds:schemaRefs>
    <ds:schemaRef ds:uri="http://purl.org/dc/dcmitype/"/>
    <ds:schemaRef ds:uri="6911e96c-4cc4-42d5-8e43-f93924cf6a05"/>
    <ds:schemaRef ds:uri="http://schemas.microsoft.com/office/2006/documentManagement/types"/>
    <ds:schemaRef ds:uri="http://www.w3.org/XML/1998/namespace"/>
    <ds:schemaRef ds:uri="9c8a2b7b-0bee-4c48-b0a6-23db8982d3bc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b52c9b-ab33-4221-8af9-54f8f2b86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Sunshine Coast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James</dc:creator>
  <cp:keywords/>
  <dc:description/>
  <cp:lastModifiedBy>Tanya Yandall</cp:lastModifiedBy>
  <cp:revision>3</cp:revision>
  <dcterms:created xsi:type="dcterms:W3CDTF">2025-05-22T09:58:00Z</dcterms:created>
  <dcterms:modified xsi:type="dcterms:W3CDTF">2025-05-22T09:58:00Z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