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2D485F" w14:paraId="58C5F26B" w14:textId="77777777" w:rsidTr="0C06B950">
        <w:trPr>
          <w:jc w:val="center"/>
        </w:trPr>
        <w:tc>
          <w:tcPr>
            <w:tcW w:w="8640" w:type="dxa"/>
            <w:shd w:val="clear" w:color="auto" w:fill="auto"/>
          </w:tcPr>
          <w:p w14:paraId="1F2E92E4" w14:textId="68DF581D" w:rsidR="006D4713" w:rsidRPr="002D485F" w:rsidRDefault="00091AE5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2D485F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Empyema: Does Culture Status Matter?</w:t>
            </w:r>
          </w:p>
        </w:tc>
      </w:tr>
      <w:tr w:rsidR="006D4713" w:rsidRPr="002D485F" w14:paraId="250D5F5C" w14:textId="77777777" w:rsidTr="0C06B950">
        <w:trPr>
          <w:jc w:val="center"/>
        </w:trPr>
        <w:tc>
          <w:tcPr>
            <w:tcW w:w="8640" w:type="dxa"/>
            <w:shd w:val="clear" w:color="auto" w:fill="auto"/>
          </w:tcPr>
          <w:p w14:paraId="3CF1D88D" w14:textId="462FCA94" w:rsidR="006D4713" w:rsidRPr="002D485F" w:rsidRDefault="008C096A" w:rsidP="009C1987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2D485F">
              <w:rPr>
                <w:rFonts w:ascii="Arial" w:hAnsi="Arial" w:cs="Arial"/>
                <w:sz w:val="22"/>
                <w:szCs w:val="22"/>
                <w:lang w:val="en-US" w:eastAsia="en-GB"/>
              </w:rPr>
              <w:t>Andrew Abboud</w:t>
            </w:r>
            <w:r w:rsidRPr="002D48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782AFC46" w:rsidRPr="002D48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 2</w:t>
            </w:r>
            <w:r w:rsidRPr="002D485F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2D48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Pr="002D485F">
              <w:rPr>
                <w:rFonts w:ascii="Arial" w:hAnsi="Arial" w:cs="Arial"/>
                <w:sz w:val="22"/>
                <w:szCs w:val="22"/>
                <w:lang w:val="en-US" w:eastAsia="en-GB"/>
              </w:rPr>
              <w:t>Josephine Walker</w:t>
            </w:r>
            <w:r w:rsidRPr="002D48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2D485F">
              <w:rPr>
                <w:rFonts w:ascii="Arial" w:hAnsi="Arial" w:cs="Arial"/>
                <w:sz w:val="22"/>
                <w:szCs w:val="22"/>
                <w:lang w:val="en-US" w:eastAsia="en-GB"/>
              </w:rPr>
              <w:t>, Ben Gerhardy</w:t>
            </w:r>
            <w:r w:rsidRPr="002D48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 2,3,4</w:t>
            </w:r>
          </w:p>
        </w:tc>
      </w:tr>
      <w:tr w:rsidR="006D4713" w:rsidRPr="002D485F" w14:paraId="4C9EDC2F" w14:textId="77777777" w:rsidTr="0C06B950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FAC6150" w14:textId="77777777" w:rsidR="008C096A" w:rsidRPr="002D485F" w:rsidRDefault="008C096A" w:rsidP="008C096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D485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2D485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Division of Medicine, Nepean Hospital</w:t>
            </w:r>
          </w:p>
          <w:p w14:paraId="41889A2B" w14:textId="12841832" w:rsidR="008C096A" w:rsidRPr="002D485F" w:rsidRDefault="008C096A" w:rsidP="0C06B950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2D48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6C50CA4A" w:rsidRPr="002D485F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Nep</w:t>
            </w:r>
            <w:r w:rsidR="39C284B9" w:rsidRPr="002D485F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 xml:space="preserve">ean Clinical School, University of Sydney </w:t>
            </w:r>
          </w:p>
          <w:p w14:paraId="31143771" w14:textId="685A5EC2" w:rsidR="008C096A" w:rsidRPr="002D485F" w:rsidRDefault="008C096A" w:rsidP="0C06B950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2D48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2D485F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Department of Intensive Care Medicine, Nepean Hospital</w:t>
            </w:r>
          </w:p>
          <w:p w14:paraId="6F207E6C" w14:textId="446F2A5B" w:rsidR="006D4713" w:rsidRPr="002D485F" w:rsidRDefault="008C096A" w:rsidP="0C06B950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2D48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4C21B527" w:rsidRPr="002D48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4C21B527" w:rsidRPr="002D485F"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  <w:t>Department of Respiratory Medicine, Nepean Hospital</w:t>
            </w:r>
          </w:p>
        </w:tc>
      </w:tr>
      <w:tr w:rsidR="006D4713" w:rsidRPr="002D485F" w14:paraId="6C2E603E" w14:textId="77777777" w:rsidTr="002D485F">
        <w:trPr>
          <w:trHeight w:hRule="exact" w:val="9857"/>
          <w:jc w:val="center"/>
        </w:trPr>
        <w:tc>
          <w:tcPr>
            <w:tcW w:w="8640" w:type="dxa"/>
            <w:shd w:val="clear" w:color="auto" w:fill="auto"/>
          </w:tcPr>
          <w:p w14:paraId="0571E719" w14:textId="0193696D" w:rsidR="006D4713" w:rsidRPr="002D485F" w:rsidRDefault="00293756" w:rsidP="009C1987">
            <w:pPr>
              <w:pStyle w:val="Pa12"/>
              <w:rPr>
                <w:rStyle w:val="A4"/>
              </w:rPr>
            </w:pPr>
            <w:r w:rsidRPr="002D485F">
              <w:rPr>
                <w:rStyle w:val="A4"/>
                <w:b/>
                <w:bCs/>
              </w:rPr>
              <w:t>Introduction/</w:t>
            </w:r>
            <w:r w:rsidR="006D4713" w:rsidRPr="002D485F">
              <w:rPr>
                <w:rStyle w:val="A4"/>
                <w:b/>
                <w:bCs/>
              </w:rPr>
              <w:t xml:space="preserve">Aim: </w:t>
            </w:r>
          </w:p>
          <w:p w14:paraId="55B7DC43" w14:textId="69870601" w:rsidR="006D4713" w:rsidRPr="002D485F" w:rsidRDefault="00FD216B" w:rsidP="009C1987">
            <w:pPr>
              <w:pStyle w:val="Pa12"/>
              <w:rPr>
                <w:rStyle w:val="A4"/>
                <w:color w:val="auto"/>
              </w:rPr>
            </w:pPr>
            <w:r w:rsidRPr="002D485F">
              <w:rPr>
                <w:sz w:val="22"/>
                <w:szCs w:val="22"/>
              </w:rPr>
              <w:t xml:space="preserve">Pus in the pleural cavity (empyema) </w:t>
            </w:r>
            <w:r w:rsidR="00697652" w:rsidRPr="002D485F">
              <w:rPr>
                <w:sz w:val="22"/>
                <w:szCs w:val="22"/>
              </w:rPr>
              <w:t xml:space="preserve">is a potentially devastating consequence of lung parenchymal infection with mortality approaching 50% in particular populations. Empyema phenotyping on culture positivity and macroscopic appearance may provide additional prognostic information. </w:t>
            </w:r>
            <w:r w:rsidR="006D4713" w:rsidRPr="002D485F">
              <w:rPr>
                <w:sz w:val="22"/>
                <w:szCs w:val="22"/>
              </w:rPr>
              <w:br/>
            </w:r>
          </w:p>
          <w:p w14:paraId="0989E8D5" w14:textId="0E7E709B" w:rsidR="006D4713" w:rsidRPr="002D485F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2D485F">
              <w:rPr>
                <w:rStyle w:val="A4"/>
                <w:b/>
                <w:bCs/>
              </w:rPr>
              <w:t>Method</w:t>
            </w:r>
            <w:r w:rsidR="009C00FA" w:rsidRPr="002D485F">
              <w:rPr>
                <w:rStyle w:val="A4"/>
                <w:b/>
                <w:bCs/>
              </w:rPr>
              <w:t>s</w:t>
            </w:r>
            <w:r w:rsidRPr="002D485F">
              <w:rPr>
                <w:rStyle w:val="A4"/>
                <w:b/>
                <w:bCs/>
              </w:rPr>
              <w:t xml:space="preserve">: </w:t>
            </w:r>
          </w:p>
          <w:p w14:paraId="2B7F4F36" w14:textId="0CB7D196" w:rsidR="006D4713" w:rsidRPr="002D485F" w:rsidRDefault="002A0794" w:rsidP="009C1987">
            <w:pPr>
              <w:pStyle w:val="Pa12"/>
              <w:rPr>
                <w:sz w:val="22"/>
                <w:szCs w:val="22"/>
              </w:rPr>
            </w:pPr>
            <w:r w:rsidRPr="002D485F">
              <w:rPr>
                <w:sz w:val="22"/>
                <w:szCs w:val="22"/>
              </w:rPr>
              <w:t xml:space="preserve">Retrospective cohort study using records obtained from </w:t>
            </w:r>
            <w:r w:rsidR="008307F4" w:rsidRPr="002D485F">
              <w:rPr>
                <w:sz w:val="22"/>
                <w:szCs w:val="22"/>
              </w:rPr>
              <w:t>a tertiary</w:t>
            </w:r>
            <w:r w:rsidRPr="002D485F">
              <w:rPr>
                <w:sz w:val="22"/>
                <w:szCs w:val="22"/>
              </w:rPr>
              <w:t xml:space="preserve"> public hospital pathology laboratory for all pleural fluid specimens between 01 August 2018 and 22 September 2023. Individual charts were examined to collect demographic</w:t>
            </w:r>
            <w:r w:rsidR="00161FFA" w:rsidRPr="002D485F">
              <w:rPr>
                <w:sz w:val="22"/>
                <w:szCs w:val="22"/>
              </w:rPr>
              <w:t xml:space="preserve">, diagnostic and clinical data. </w:t>
            </w:r>
            <w:r w:rsidR="00697652" w:rsidRPr="002D485F">
              <w:rPr>
                <w:sz w:val="22"/>
                <w:szCs w:val="22"/>
              </w:rPr>
              <w:t>RAPID score was calculated for culture positive results, and 3 month mortality compared between culture positive and negative results.</w:t>
            </w:r>
          </w:p>
          <w:p w14:paraId="19893218" w14:textId="77777777" w:rsidR="00FD216B" w:rsidRPr="002D485F" w:rsidRDefault="00FD216B" w:rsidP="00FD216B">
            <w:pPr>
              <w:pStyle w:val="Default"/>
              <w:rPr>
                <w:sz w:val="22"/>
                <w:szCs w:val="22"/>
              </w:rPr>
            </w:pPr>
          </w:p>
          <w:p w14:paraId="4E0E8EA7" w14:textId="77777777" w:rsidR="006D4713" w:rsidRPr="002D485F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2D485F">
              <w:rPr>
                <w:rStyle w:val="A4"/>
                <w:b/>
                <w:bCs/>
              </w:rPr>
              <w:t xml:space="preserve">Results: </w:t>
            </w:r>
          </w:p>
          <w:p w14:paraId="3B9C9917" w14:textId="148F9029" w:rsidR="00B21904" w:rsidRPr="002D485F" w:rsidRDefault="009204E4" w:rsidP="00FD216B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Over the 5 year period, 61 pleural effusions were concerning for empyema and underwent medical intervention. </w:t>
            </w:r>
            <w:r w:rsidR="00897CFE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41</w:t>
            </w:r>
            <w:r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/61 (6</w:t>
            </w:r>
            <w:r w:rsidR="00897CFE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7</w:t>
            </w:r>
            <w:r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%) </w:t>
            </w:r>
            <w:r w:rsidR="00EE720E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were demonstrated to be empyema</w:t>
            </w:r>
            <w:r w:rsidR="00697652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on macroscopic appearance</w:t>
            </w:r>
            <w:r w:rsidR="00EE720E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1A482B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with 12</w:t>
            </w:r>
            <w:r w:rsidR="00897CFE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/41 (29%)</w:t>
            </w:r>
            <w:r w:rsidR="001A482B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demonstrating </w:t>
            </w:r>
            <w:r w:rsidR="00EE720E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a positive culture.</w:t>
            </w:r>
          </w:p>
          <w:p w14:paraId="344573A1" w14:textId="77777777" w:rsidR="006B45BF" w:rsidRPr="002D485F" w:rsidRDefault="006B45BF" w:rsidP="00FD216B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0E74EED5" w14:textId="68DDD528" w:rsidR="006B45BF" w:rsidRPr="002D485F" w:rsidRDefault="006B45BF" w:rsidP="00FD216B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The culture positive empyema</w:t>
            </w:r>
            <w:r w:rsidR="00897CFE" w:rsidRPr="002D485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3 month mortality was 2/12 (17%). The culture negative empyema 3 month mortality was 6/29 (21%). </w:t>
            </w:r>
          </w:p>
          <w:p w14:paraId="051A3D78" w14:textId="77777777" w:rsidR="00EE720E" w:rsidRPr="002D485F" w:rsidRDefault="00EE720E" w:rsidP="00FD216B">
            <w:pP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9"/>
              <w:gridCol w:w="709"/>
              <w:gridCol w:w="283"/>
              <w:gridCol w:w="1560"/>
              <w:gridCol w:w="708"/>
              <w:gridCol w:w="1702"/>
            </w:tblGrid>
            <w:tr w:rsidR="001A482B" w:rsidRPr="002D485F" w14:paraId="25B232D9" w14:textId="0AFC1F9C" w:rsidTr="001A482B">
              <w:tc>
                <w:tcPr>
                  <w:tcW w:w="3419" w:type="dxa"/>
                </w:tcPr>
                <w:p w14:paraId="5480BB28" w14:textId="0507A8C1" w:rsidR="001A482B" w:rsidRPr="002D485F" w:rsidRDefault="001A482B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Pathogen</w:t>
                  </w:r>
                </w:p>
              </w:tc>
              <w:tc>
                <w:tcPr>
                  <w:tcW w:w="709" w:type="dxa"/>
                </w:tcPr>
                <w:p w14:paraId="6998CB0A" w14:textId="172EF160" w:rsidR="001A482B" w:rsidRPr="002D485F" w:rsidRDefault="001A482B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CA5C8AF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2086FB1F" w14:textId="0BF75CC1" w:rsidR="001A482B" w:rsidRPr="002D485F" w:rsidRDefault="001A482B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RAPID (mortality)</w:t>
                  </w:r>
                </w:p>
              </w:tc>
              <w:tc>
                <w:tcPr>
                  <w:tcW w:w="708" w:type="dxa"/>
                </w:tcPr>
                <w:p w14:paraId="7BACD393" w14:textId="14382633" w:rsidR="001A482B" w:rsidRPr="002D485F" w:rsidRDefault="001A482B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1702" w:type="dxa"/>
                </w:tcPr>
                <w:p w14:paraId="05555A4C" w14:textId="6349E5D1" w:rsidR="001A482B" w:rsidRPr="002D485F" w:rsidRDefault="001A482B" w:rsidP="00B21904">
                  <w:pPr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Mortality 3/12</w:t>
                  </w:r>
                </w:p>
              </w:tc>
            </w:tr>
            <w:tr w:rsidR="001A482B" w:rsidRPr="002D485F" w14:paraId="7AAB4360" w14:textId="3675D90C" w:rsidTr="001A482B">
              <w:tc>
                <w:tcPr>
                  <w:tcW w:w="3419" w:type="dxa"/>
                </w:tcPr>
                <w:p w14:paraId="359C72F5" w14:textId="3E574170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Streptococcus</w:t>
                  </w: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sp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4DF2E796" w14:textId="3476296C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51FC790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7C3193E9" w14:textId="1D833A7A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Low (1.5%)</w:t>
                  </w:r>
                </w:p>
              </w:tc>
              <w:tc>
                <w:tcPr>
                  <w:tcW w:w="708" w:type="dxa"/>
                </w:tcPr>
                <w:p w14:paraId="47C53479" w14:textId="000DB2EB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2" w:type="dxa"/>
                </w:tcPr>
                <w:p w14:paraId="6214671E" w14:textId="28959A65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1A482B" w:rsidRPr="002D485F" w14:paraId="7A950A45" w14:textId="43C4C7DC" w:rsidTr="001A482B">
              <w:tc>
                <w:tcPr>
                  <w:tcW w:w="3419" w:type="dxa"/>
                </w:tcPr>
                <w:p w14:paraId="3CD3F8D8" w14:textId="72A74B7F" w:rsidR="001A482B" w:rsidRPr="002D485F" w:rsidRDefault="001A482B" w:rsidP="00EE720E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 xml:space="preserve">Other </w:t>
                  </w:r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(mixed anaerobes, Hafnia, Corynebacterium </w:t>
                  </w:r>
                  <w:proofErr w:type="spellStart"/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sp</w:t>
                  </w:r>
                  <w:proofErr w:type="spellEnd"/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14:paraId="2AFE587A" w14:textId="17084E4F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4B62226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6300F55A" w14:textId="45B0A59A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Medium (17.8%)</w:t>
                  </w:r>
                </w:p>
              </w:tc>
              <w:tc>
                <w:tcPr>
                  <w:tcW w:w="708" w:type="dxa"/>
                </w:tcPr>
                <w:p w14:paraId="4DEAEFA2" w14:textId="0E50D0F0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2" w:type="dxa"/>
                </w:tcPr>
                <w:p w14:paraId="6F341437" w14:textId="4D6C49CC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0</w:t>
                  </w:r>
                </w:p>
              </w:tc>
            </w:tr>
            <w:tr w:rsidR="001A482B" w:rsidRPr="002D485F" w14:paraId="6627CB35" w14:textId="3BF88541" w:rsidTr="001A482B">
              <w:tc>
                <w:tcPr>
                  <w:tcW w:w="3419" w:type="dxa"/>
                </w:tcPr>
                <w:p w14:paraId="1744AA92" w14:textId="561EE8BA" w:rsidR="001A482B" w:rsidRPr="002D485F" w:rsidRDefault="001A482B" w:rsidP="00EE720E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Staphylococcus</w:t>
                  </w: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aureus</w:t>
                  </w: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sp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40505DB5" w14:textId="7AD3157D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5ADCA01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1A203D09" w14:textId="2EB009AA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High (47.8%)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69EDEEC0" w14:textId="4E58034E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auto"/>
                  </w:tcBorders>
                </w:tcPr>
                <w:p w14:paraId="481CF172" w14:textId="2183AC44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</w:tr>
            <w:tr w:rsidR="001A482B" w:rsidRPr="002D485F" w14:paraId="638ACFE3" w14:textId="19676C4C" w:rsidTr="001A482B">
              <w:tc>
                <w:tcPr>
                  <w:tcW w:w="3419" w:type="dxa"/>
                </w:tcPr>
                <w:p w14:paraId="1FABA405" w14:textId="43B554C0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 xml:space="preserve">Other </w:t>
                  </w:r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Staphylococcus </w:t>
                  </w:r>
                  <w:proofErr w:type="spellStart"/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sp</w:t>
                  </w:r>
                  <w:proofErr w:type="spellEnd"/>
                </w:p>
              </w:tc>
              <w:tc>
                <w:tcPr>
                  <w:tcW w:w="709" w:type="dxa"/>
                </w:tcPr>
                <w:p w14:paraId="16C01FA6" w14:textId="5756B915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nil"/>
                  </w:tcBorders>
                </w:tcPr>
                <w:p w14:paraId="3A5FA8A7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bottom w:val="nil"/>
                    <w:right w:val="nil"/>
                  </w:tcBorders>
                </w:tcPr>
                <w:p w14:paraId="5B86ADFA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  <w:bottom w:val="nil"/>
                    <w:right w:val="nil"/>
                  </w:tcBorders>
                </w:tcPr>
                <w:p w14:paraId="0DEC0D53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02" w:type="dxa"/>
                  <w:tcBorders>
                    <w:left w:val="nil"/>
                    <w:bottom w:val="nil"/>
                    <w:right w:val="nil"/>
                  </w:tcBorders>
                </w:tcPr>
                <w:p w14:paraId="2FB256D5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1A482B" w:rsidRPr="002D485F" w14:paraId="131C1753" w14:textId="67B9FE32" w:rsidTr="001A482B">
              <w:tc>
                <w:tcPr>
                  <w:tcW w:w="3419" w:type="dxa"/>
                </w:tcPr>
                <w:p w14:paraId="08847D00" w14:textId="6722AA6B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Candida</w:t>
                  </w: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2D485F">
                    <w:rPr>
                      <w:rFonts w:ascii="Arial" w:eastAsiaTheme="minorEastAsia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albicans</w:t>
                  </w:r>
                </w:p>
              </w:tc>
              <w:tc>
                <w:tcPr>
                  <w:tcW w:w="709" w:type="dxa"/>
                </w:tcPr>
                <w:p w14:paraId="5DBC126F" w14:textId="37F0C95A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  <w:r w:rsidRPr="002D485F"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  <w:right w:val="nil"/>
                  </w:tcBorders>
                </w:tcPr>
                <w:p w14:paraId="626DFE99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DE8E7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0A949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9B5AE" w14:textId="77777777" w:rsidR="001A482B" w:rsidRPr="002D485F" w:rsidRDefault="001A482B" w:rsidP="00B21904">
                  <w:pPr>
                    <w:rPr>
                      <w:rFonts w:ascii="Arial" w:eastAsiaTheme="minorEastAsia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332A97F3" w14:textId="77777777" w:rsidR="0096216D" w:rsidRPr="002D485F" w:rsidRDefault="0096216D" w:rsidP="009C1987">
            <w:pPr>
              <w:pStyle w:val="Pa12"/>
              <w:rPr>
                <w:rStyle w:val="A4"/>
                <w:b/>
                <w:bCs/>
              </w:rPr>
            </w:pPr>
          </w:p>
          <w:p w14:paraId="6B430316" w14:textId="77AC9705" w:rsidR="006D4713" w:rsidRPr="002D485F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2D485F">
              <w:rPr>
                <w:rStyle w:val="A4"/>
                <w:b/>
                <w:bCs/>
              </w:rPr>
              <w:t xml:space="preserve">Conclusion: </w:t>
            </w:r>
          </w:p>
          <w:p w14:paraId="666FE603" w14:textId="5CEA9D74" w:rsidR="006D4713" w:rsidRPr="002D485F" w:rsidRDefault="00897CFE" w:rsidP="009C1987">
            <w:pPr>
              <w:pStyle w:val="Pa12"/>
              <w:rPr>
                <w:rStyle w:val="A4"/>
                <w:color w:val="auto"/>
              </w:rPr>
            </w:pPr>
            <w:r w:rsidRPr="002D485F">
              <w:rPr>
                <w:sz w:val="22"/>
                <w:szCs w:val="22"/>
              </w:rPr>
              <w:t>Wh</w:t>
            </w:r>
            <w:r w:rsidR="00FB0DEB" w:rsidRPr="002D485F">
              <w:rPr>
                <w:sz w:val="22"/>
                <w:szCs w:val="22"/>
              </w:rPr>
              <w:t xml:space="preserve">ilst numbers are low, our culture positive and culture negative </w:t>
            </w:r>
            <w:proofErr w:type="spellStart"/>
            <w:r w:rsidR="00FB0DEB" w:rsidRPr="002D485F">
              <w:rPr>
                <w:sz w:val="22"/>
                <w:szCs w:val="22"/>
              </w:rPr>
              <w:t>empyemas</w:t>
            </w:r>
            <w:proofErr w:type="spellEnd"/>
            <w:r w:rsidR="00FB0DEB" w:rsidRPr="002D485F">
              <w:rPr>
                <w:sz w:val="22"/>
                <w:szCs w:val="22"/>
              </w:rPr>
              <w:t xml:space="preserve"> had a similar mortality rate. </w:t>
            </w:r>
            <w:r w:rsidR="00FB0DEB" w:rsidRPr="002D485F">
              <w:rPr>
                <w:i/>
                <w:iCs/>
                <w:sz w:val="22"/>
                <w:szCs w:val="22"/>
              </w:rPr>
              <w:t>Streptococcus</w:t>
            </w:r>
            <w:r w:rsidR="00FB0DEB" w:rsidRPr="002D485F">
              <w:rPr>
                <w:sz w:val="22"/>
                <w:szCs w:val="22"/>
              </w:rPr>
              <w:t xml:space="preserve"> was the most commonly identified pathogen.</w:t>
            </w:r>
            <w:r w:rsidR="006D4713" w:rsidRPr="002D485F">
              <w:rPr>
                <w:sz w:val="22"/>
                <w:szCs w:val="22"/>
              </w:rPr>
              <w:br/>
            </w:r>
          </w:p>
          <w:p w14:paraId="2BFF0604" w14:textId="77777777" w:rsidR="009204E4" w:rsidRPr="002D485F" w:rsidRDefault="006D4713" w:rsidP="0096216D">
            <w:pPr>
              <w:pStyle w:val="Pa12"/>
              <w:rPr>
                <w:rStyle w:val="A4"/>
                <w:b/>
                <w:bCs/>
              </w:rPr>
            </w:pPr>
            <w:r w:rsidRPr="002D485F">
              <w:rPr>
                <w:rStyle w:val="A4"/>
                <w:b/>
                <w:bCs/>
              </w:rPr>
              <w:t xml:space="preserve">Grant Support: </w:t>
            </w:r>
            <w:r w:rsidR="002A0794" w:rsidRPr="002D485F">
              <w:rPr>
                <w:rStyle w:val="A4"/>
                <w:b/>
                <w:bCs/>
              </w:rPr>
              <w:t>NIL</w:t>
            </w:r>
          </w:p>
          <w:p w14:paraId="50E13EAD" w14:textId="2FA75F35" w:rsidR="006D4713" w:rsidRPr="002D485F" w:rsidRDefault="006D4713" w:rsidP="00EE720E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2D485F">
              <w:rPr>
                <w:sz w:val="22"/>
                <w:szCs w:val="22"/>
              </w:rPr>
              <w:br/>
            </w:r>
            <w:r w:rsidRPr="002D485F">
              <w:rPr>
                <w:sz w:val="22"/>
                <w:szCs w:val="22"/>
                <w:lang w:val="en-US" w:eastAsia="en-GB"/>
              </w:rPr>
              <w:br/>
            </w:r>
            <w:r w:rsidRPr="002D485F">
              <w:rPr>
                <w:sz w:val="22"/>
                <w:szCs w:val="22"/>
                <w:lang w:val="en-US" w:eastAsia="en-GB"/>
              </w:rPr>
              <w:br/>
            </w:r>
            <w:r w:rsidRPr="002D485F">
              <w:rPr>
                <w:sz w:val="22"/>
                <w:szCs w:val="22"/>
                <w:lang w:val="en-US" w:eastAsia="en-GB"/>
              </w:rPr>
              <w:br/>
            </w:r>
            <w:r w:rsidRPr="002D485F">
              <w:rPr>
                <w:sz w:val="22"/>
                <w:szCs w:val="22"/>
                <w:lang w:val="en-US" w:eastAsia="en-GB"/>
              </w:rPr>
              <w:br/>
            </w:r>
            <w:r w:rsidRPr="002D485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A2F0BDB" w14:textId="209D4294" w:rsidR="005E4443" w:rsidRPr="002D485F" w:rsidRDefault="005E4443">
      <w:pPr>
        <w:rPr>
          <w:rFonts w:ascii="Arial" w:hAnsi="Arial" w:cs="Arial"/>
          <w:sz w:val="22"/>
          <w:szCs w:val="22"/>
        </w:rPr>
      </w:pPr>
    </w:p>
    <w:p w14:paraId="3B8E51EA" w14:textId="77777777" w:rsidR="00224283" w:rsidRPr="002D485F" w:rsidRDefault="00224283" w:rsidP="005E4443">
      <w:pPr>
        <w:ind w:firstLine="720"/>
        <w:rPr>
          <w:rFonts w:ascii="Arial" w:hAnsi="Arial" w:cs="Arial"/>
          <w:sz w:val="22"/>
          <w:szCs w:val="22"/>
          <w:highlight w:val="lightGray"/>
        </w:rPr>
      </w:pPr>
    </w:p>
    <w:p w14:paraId="1EC2300B" w14:textId="18A4D9D7" w:rsidR="00224283" w:rsidRPr="002D485F" w:rsidRDefault="00224283" w:rsidP="00224283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2D485F">
        <w:rPr>
          <w:rFonts w:ascii="Arial" w:hAnsi="Arial" w:cs="Arial"/>
          <w:sz w:val="22"/>
          <w:szCs w:val="22"/>
        </w:rPr>
        <w:fldChar w:fldCharType="begin"/>
      </w:r>
      <w:r w:rsidRPr="002D485F">
        <w:rPr>
          <w:rFonts w:ascii="Arial" w:hAnsi="Arial" w:cs="Arial"/>
          <w:sz w:val="22"/>
          <w:szCs w:val="22"/>
        </w:rPr>
        <w:instrText xml:space="preserve"> ADDIN EN.REFLIST </w:instrText>
      </w:r>
      <w:r w:rsidRPr="002D485F">
        <w:rPr>
          <w:rFonts w:ascii="Arial" w:hAnsi="Arial" w:cs="Arial"/>
          <w:sz w:val="22"/>
          <w:szCs w:val="22"/>
        </w:rPr>
        <w:fldChar w:fldCharType="separate"/>
      </w:r>
    </w:p>
    <w:p w14:paraId="1865FF2C" w14:textId="4BBCA2E6" w:rsidR="005E4443" w:rsidRPr="002D485F" w:rsidRDefault="00224283" w:rsidP="005E4443">
      <w:pPr>
        <w:ind w:firstLine="720"/>
        <w:rPr>
          <w:rFonts w:ascii="Arial" w:hAnsi="Arial" w:cs="Arial"/>
          <w:sz w:val="22"/>
          <w:szCs w:val="22"/>
        </w:rPr>
      </w:pPr>
      <w:r w:rsidRPr="002D485F">
        <w:rPr>
          <w:rFonts w:ascii="Arial" w:hAnsi="Arial" w:cs="Arial"/>
          <w:sz w:val="22"/>
          <w:szCs w:val="22"/>
        </w:rPr>
        <w:fldChar w:fldCharType="end"/>
      </w:r>
    </w:p>
    <w:sectPr w:rsidR="005E4443" w:rsidRPr="002D4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pstazd50vw5teartpvw5f992dr2xvxxt59&quot;&gt;SRMA Library V2&lt;record-ids&gt;&lt;item&gt;28&lt;/item&gt;&lt;/record-ids&gt;&lt;/item&gt;&lt;/Libraries&gt;"/>
  </w:docVars>
  <w:rsids>
    <w:rsidRoot w:val="006D4713"/>
    <w:rsid w:val="0009013B"/>
    <w:rsid w:val="00091AE5"/>
    <w:rsid w:val="00101790"/>
    <w:rsid w:val="00161FFA"/>
    <w:rsid w:val="001818E7"/>
    <w:rsid w:val="001A482B"/>
    <w:rsid w:val="00224283"/>
    <w:rsid w:val="00293756"/>
    <w:rsid w:val="002A0794"/>
    <w:rsid w:val="002D485F"/>
    <w:rsid w:val="00323005"/>
    <w:rsid w:val="00386B05"/>
    <w:rsid w:val="0039014D"/>
    <w:rsid w:val="00413B94"/>
    <w:rsid w:val="005E4443"/>
    <w:rsid w:val="00601A14"/>
    <w:rsid w:val="00697652"/>
    <w:rsid w:val="006B45BF"/>
    <w:rsid w:val="006D4713"/>
    <w:rsid w:val="006F134D"/>
    <w:rsid w:val="008307F4"/>
    <w:rsid w:val="00897CFE"/>
    <w:rsid w:val="008C096A"/>
    <w:rsid w:val="009204E4"/>
    <w:rsid w:val="0096216D"/>
    <w:rsid w:val="009C00FA"/>
    <w:rsid w:val="00AD1D4A"/>
    <w:rsid w:val="00B21904"/>
    <w:rsid w:val="00B60B70"/>
    <w:rsid w:val="00C91C8C"/>
    <w:rsid w:val="00EE3EA8"/>
    <w:rsid w:val="00EE720E"/>
    <w:rsid w:val="00EF6C20"/>
    <w:rsid w:val="00F67B0C"/>
    <w:rsid w:val="00F97FF4"/>
    <w:rsid w:val="00FB0DEB"/>
    <w:rsid w:val="00FD216B"/>
    <w:rsid w:val="0C06B950"/>
    <w:rsid w:val="39C284B9"/>
    <w:rsid w:val="41E5F590"/>
    <w:rsid w:val="4C21B527"/>
    <w:rsid w:val="5F2651E7"/>
    <w:rsid w:val="6C50CA4A"/>
    <w:rsid w:val="782AF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EDFD4"/>
  <w15:docId w15:val="{02275EF8-C98F-A441-AB83-15D1303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6D4713"/>
    <w:pPr>
      <w:spacing w:line="241" w:lineRule="atLeast"/>
    </w:pPr>
    <w:rPr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224283"/>
    <w:pPr>
      <w:jc w:val="center"/>
    </w:pPr>
    <w:rPr>
      <w:lang w:val="en-US"/>
    </w:rPr>
  </w:style>
  <w:style w:type="character" w:customStyle="1" w:styleId="DefaultChar">
    <w:name w:val="Default Char"/>
    <w:basedOn w:val="DefaultParagraphFont"/>
    <w:link w:val="Default"/>
    <w:rsid w:val="00224283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224283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EndNoteBibliographyTitleChar">
    <w:name w:val="EndNote Bibliography Title Char"/>
    <w:basedOn w:val="Pa12Char"/>
    <w:link w:val="EndNoteBibliographyTitle"/>
    <w:rsid w:val="00224283"/>
    <w:rPr>
      <w:rFonts w:ascii="Times New Roman" w:eastAsia="Times New Roman" w:hAnsi="Times New Roman" w:cs="Times New Roman"/>
      <w:color w:val="000000"/>
      <w:sz w:val="24"/>
      <w:szCs w:val="24"/>
      <w:lang w:val="en-US" w:eastAsia="en-NZ"/>
    </w:rPr>
  </w:style>
  <w:style w:type="paragraph" w:customStyle="1" w:styleId="EndNoteBibliography">
    <w:name w:val="EndNote Bibliography"/>
    <w:basedOn w:val="Normal"/>
    <w:link w:val="EndNoteBibliographyChar"/>
    <w:rsid w:val="00224283"/>
    <w:rPr>
      <w:lang w:val="en-US"/>
    </w:rPr>
  </w:style>
  <w:style w:type="character" w:customStyle="1" w:styleId="EndNoteBibliographyChar">
    <w:name w:val="EndNote Bibliography Char"/>
    <w:basedOn w:val="Pa12Char"/>
    <w:link w:val="EndNoteBibliography"/>
    <w:rsid w:val="00224283"/>
    <w:rPr>
      <w:rFonts w:ascii="Times New Roman" w:eastAsia="Times New Roman" w:hAnsi="Times New Roman" w:cs="Times New Roman"/>
      <w:color w:val="000000"/>
      <w:sz w:val="24"/>
      <w:szCs w:val="24"/>
      <w:lang w:val="en-US" w:eastAsia="en-NZ"/>
    </w:rPr>
  </w:style>
  <w:style w:type="table" w:styleId="TableGrid">
    <w:name w:val="Table Grid"/>
    <w:basedOn w:val="TableNormal"/>
    <w:uiPriority w:val="59"/>
    <w:rsid w:val="0096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C4964-186A-42EF-A190-9D8D62EAB3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633AF-3BA2-45CF-9623-1C291D286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44E08-61FA-49D8-9E1D-87AB96336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>Toshiba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Sinead Litt</cp:lastModifiedBy>
  <cp:revision>3</cp:revision>
  <dcterms:created xsi:type="dcterms:W3CDTF">2023-10-22T22:56:00Z</dcterms:created>
  <dcterms:modified xsi:type="dcterms:W3CDTF">2023-10-22T22:56:00Z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