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5"/>
      </w:tblGrid>
      <w:tr w:rsidR="001564A4" w:rsidRPr="005C0E32" w14:paraId="5C38377B" w14:textId="77777777" w:rsidTr="005C0E32">
        <w:trPr>
          <w:trHeight w:val="675"/>
          <w:jc w:val="center"/>
        </w:trPr>
        <w:tc>
          <w:tcPr>
            <w:tcW w:w="8965" w:type="dxa"/>
            <w:shd w:val="clear" w:color="auto" w:fill="auto"/>
          </w:tcPr>
          <w:p w14:paraId="5C44F357" w14:textId="5F77D7B6" w:rsidR="001564A4" w:rsidRPr="005C0E32" w:rsidRDefault="005D1BEA" w:rsidP="000A28E2">
            <w:pPr>
              <w:spacing w:before="120" w:after="120"/>
              <w:rPr>
                <w:rFonts w:ascii="Arial" w:hAnsi="Arial" w:cs="Arial"/>
                <w:b/>
                <w:sz w:val="22"/>
                <w:szCs w:val="22"/>
                <w:lang w:val="en-US" w:eastAsia="zh-CN"/>
              </w:rPr>
            </w:pPr>
            <w:r w:rsidRPr="005C0E32">
              <w:rPr>
                <w:rFonts w:ascii="Arial" w:hAnsi="Arial" w:cs="Arial"/>
                <w:b/>
                <w:sz w:val="22"/>
                <w:szCs w:val="22"/>
                <w:lang w:val="en-US" w:eastAsia="en-GB"/>
              </w:rPr>
              <w:t xml:space="preserve">PR </w:t>
            </w:r>
            <w:r w:rsidR="00035C44">
              <w:rPr>
                <w:rFonts w:ascii="Arial" w:hAnsi="Arial" w:cs="Arial"/>
                <w:b/>
                <w:sz w:val="22"/>
                <w:szCs w:val="22"/>
                <w:lang w:val="en-US" w:eastAsia="en-GB"/>
              </w:rPr>
              <w:t>l</w:t>
            </w:r>
            <w:r w:rsidRPr="005C0E32">
              <w:rPr>
                <w:rFonts w:ascii="Arial" w:hAnsi="Arial" w:cs="Arial"/>
                <w:b/>
                <w:sz w:val="22"/>
                <w:szCs w:val="22"/>
                <w:lang w:val="en-US" w:eastAsia="en-GB"/>
              </w:rPr>
              <w:t xml:space="preserve">ocation </w:t>
            </w:r>
            <w:r w:rsidR="00035C44">
              <w:rPr>
                <w:rFonts w:ascii="Arial" w:hAnsi="Arial" w:cs="Arial"/>
                <w:b/>
                <w:sz w:val="22"/>
                <w:szCs w:val="22"/>
                <w:lang w:val="en-US" w:eastAsia="en-GB"/>
              </w:rPr>
              <w:t>d</w:t>
            </w:r>
            <w:r w:rsidRPr="005C0E32">
              <w:rPr>
                <w:rFonts w:ascii="Arial" w:hAnsi="Arial" w:cs="Arial"/>
                <w:b/>
                <w:sz w:val="22"/>
                <w:szCs w:val="22"/>
                <w:lang w:val="en-US" w:eastAsia="en-GB"/>
              </w:rPr>
              <w:t xml:space="preserve">oes </w:t>
            </w:r>
            <w:r w:rsidR="00035C44">
              <w:rPr>
                <w:rFonts w:ascii="Arial" w:hAnsi="Arial" w:cs="Arial"/>
                <w:b/>
                <w:sz w:val="22"/>
                <w:szCs w:val="22"/>
                <w:lang w:val="en-US" w:eastAsia="en-GB"/>
              </w:rPr>
              <w:t>n</w:t>
            </w:r>
            <w:r w:rsidRPr="005C0E32">
              <w:rPr>
                <w:rFonts w:ascii="Arial" w:hAnsi="Arial" w:cs="Arial"/>
                <w:b/>
                <w:sz w:val="22"/>
                <w:szCs w:val="22"/>
                <w:lang w:val="en-US" w:eastAsia="en-GB"/>
              </w:rPr>
              <w:t xml:space="preserve">ot </w:t>
            </w:r>
            <w:r w:rsidR="00035C44">
              <w:rPr>
                <w:rFonts w:ascii="Arial" w:hAnsi="Arial" w:cs="Arial"/>
                <w:b/>
                <w:sz w:val="22"/>
                <w:szCs w:val="22"/>
                <w:lang w:val="en-US" w:eastAsia="en-GB"/>
              </w:rPr>
              <w:t>i</w:t>
            </w:r>
            <w:r w:rsidRPr="005C0E32">
              <w:rPr>
                <w:rFonts w:ascii="Arial" w:hAnsi="Arial" w:cs="Arial"/>
                <w:b/>
                <w:sz w:val="22"/>
                <w:szCs w:val="22"/>
                <w:lang w:val="en-US" w:eastAsia="en-GB"/>
              </w:rPr>
              <w:t xml:space="preserve">nfluence </w:t>
            </w:r>
            <w:r w:rsidR="00035C44">
              <w:rPr>
                <w:rFonts w:ascii="Arial" w:hAnsi="Arial" w:cs="Arial"/>
                <w:b/>
                <w:sz w:val="22"/>
                <w:szCs w:val="22"/>
                <w:lang w:val="en-US" w:eastAsia="en-GB"/>
              </w:rPr>
              <w:t>t</w:t>
            </w:r>
            <w:r w:rsidRPr="005C0E32">
              <w:rPr>
                <w:rFonts w:ascii="Arial" w:hAnsi="Arial" w:cs="Arial"/>
                <w:b/>
                <w:sz w:val="22"/>
                <w:szCs w:val="22"/>
                <w:lang w:val="en-US" w:eastAsia="en-GB"/>
              </w:rPr>
              <w:t xml:space="preserve">ime </w:t>
            </w:r>
            <w:r w:rsidR="00035C44">
              <w:rPr>
                <w:rFonts w:ascii="Arial" w:hAnsi="Arial" w:cs="Arial"/>
                <w:b/>
                <w:sz w:val="22"/>
                <w:szCs w:val="22"/>
                <w:lang w:val="en-US" w:eastAsia="en-GB"/>
              </w:rPr>
              <w:t>s</w:t>
            </w:r>
            <w:r w:rsidRPr="005C0E32">
              <w:rPr>
                <w:rFonts w:ascii="Arial" w:hAnsi="Arial" w:cs="Arial"/>
                <w:b/>
                <w:sz w:val="22"/>
                <w:szCs w:val="22"/>
                <w:lang w:val="en-US" w:eastAsia="en-GB"/>
              </w:rPr>
              <w:t xml:space="preserve">pent </w:t>
            </w:r>
            <w:r w:rsidR="00035C44">
              <w:rPr>
                <w:rFonts w:ascii="Arial" w:hAnsi="Arial" w:cs="Arial"/>
                <w:b/>
                <w:sz w:val="22"/>
                <w:szCs w:val="22"/>
                <w:lang w:val="en-US" w:eastAsia="en-GB"/>
              </w:rPr>
              <w:t>o</w:t>
            </w:r>
            <w:r w:rsidRPr="005C0E32">
              <w:rPr>
                <w:rFonts w:ascii="Arial" w:hAnsi="Arial" w:cs="Arial"/>
                <w:b/>
                <w:sz w:val="22"/>
                <w:szCs w:val="22"/>
                <w:lang w:val="en-US" w:eastAsia="en-GB"/>
              </w:rPr>
              <w:t xml:space="preserve">utside the </w:t>
            </w:r>
            <w:r w:rsidR="00035C44">
              <w:rPr>
                <w:rFonts w:ascii="Arial" w:hAnsi="Arial" w:cs="Arial"/>
                <w:b/>
                <w:sz w:val="22"/>
                <w:szCs w:val="22"/>
                <w:lang w:val="en-US" w:eastAsia="en-GB"/>
              </w:rPr>
              <w:t>h</w:t>
            </w:r>
            <w:r w:rsidRPr="005C0E32">
              <w:rPr>
                <w:rFonts w:ascii="Arial" w:hAnsi="Arial" w:cs="Arial"/>
                <w:b/>
                <w:sz w:val="22"/>
                <w:szCs w:val="22"/>
                <w:lang w:val="en-US" w:eastAsia="en-GB"/>
              </w:rPr>
              <w:t>ouse</w:t>
            </w:r>
          </w:p>
        </w:tc>
      </w:tr>
      <w:tr w:rsidR="001564A4" w:rsidRPr="005C0E32" w14:paraId="0E2E035C" w14:textId="77777777" w:rsidTr="005C0E32">
        <w:trPr>
          <w:trHeight w:val="665"/>
          <w:jc w:val="center"/>
        </w:trPr>
        <w:tc>
          <w:tcPr>
            <w:tcW w:w="8965" w:type="dxa"/>
            <w:shd w:val="clear" w:color="auto" w:fill="auto"/>
          </w:tcPr>
          <w:p w14:paraId="73B55295" w14:textId="4743D078" w:rsidR="001564A4" w:rsidRPr="005C0E32" w:rsidRDefault="005D1BEA" w:rsidP="000A28E2">
            <w:pPr>
              <w:spacing w:before="120" w:after="120"/>
              <w:rPr>
                <w:rFonts w:ascii="Arial" w:hAnsi="Arial" w:cs="Arial"/>
                <w:sz w:val="22"/>
                <w:szCs w:val="22"/>
                <w:u w:val="single"/>
                <w:lang w:eastAsia="zh-CN"/>
              </w:rPr>
            </w:pPr>
            <w:bookmarkStart w:id="0" w:name="Text8"/>
            <w:r w:rsidRPr="005C0E32">
              <w:rPr>
                <w:rFonts w:ascii="Arial" w:hAnsi="Arial" w:cs="Arial"/>
                <w:sz w:val="22"/>
                <w:szCs w:val="22"/>
                <w:lang w:val="en-US" w:eastAsia="en-GB"/>
              </w:rPr>
              <w:t>M Chong</w:t>
            </w:r>
            <w:r w:rsidRPr="005C0E32">
              <w:rPr>
                <w:rFonts w:ascii="Arial" w:hAnsi="Arial" w:cs="Arial"/>
                <w:sz w:val="22"/>
                <w:szCs w:val="22"/>
                <w:vertAlign w:val="superscript"/>
                <w:lang w:val="en-US" w:eastAsia="en-GB"/>
              </w:rPr>
              <w:t>1</w:t>
            </w:r>
            <w:r w:rsidRPr="005C0E32">
              <w:rPr>
                <w:rFonts w:ascii="Arial" w:hAnsi="Arial" w:cs="Arial"/>
                <w:sz w:val="22"/>
                <w:szCs w:val="22"/>
                <w:lang w:val="en-US" w:eastAsia="en-GB"/>
              </w:rPr>
              <w:t>,</w:t>
            </w:r>
            <w:bookmarkEnd w:id="0"/>
            <w:r w:rsidRPr="005C0E32">
              <w:rPr>
                <w:rFonts w:ascii="Arial" w:hAnsi="Arial" w:cs="Arial"/>
                <w:sz w:val="22"/>
                <w:szCs w:val="22"/>
                <w:lang w:val="en-US" w:eastAsia="en-GB"/>
              </w:rPr>
              <w:t xml:space="preserve"> AE Holland</w:t>
            </w:r>
            <w:r w:rsidRPr="005C0E32">
              <w:rPr>
                <w:rFonts w:ascii="Arial" w:hAnsi="Arial" w:cs="Arial"/>
                <w:sz w:val="22"/>
                <w:szCs w:val="22"/>
                <w:vertAlign w:val="superscript"/>
                <w:lang w:val="en-US" w:eastAsia="en-GB"/>
              </w:rPr>
              <w:t>1,2,3</w:t>
            </w:r>
            <w:r w:rsidRPr="005C0E32">
              <w:rPr>
                <w:rFonts w:ascii="Arial" w:hAnsi="Arial" w:cs="Arial"/>
                <w:sz w:val="22"/>
                <w:szCs w:val="22"/>
                <w:lang w:val="en-US" w:eastAsia="en-GB"/>
              </w:rPr>
              <w:t>, J Bondarenko</w:t>
            </w:r>
            <w:r w:rsidRPr="005C0E32">
              <w:rPr>
                <w:rFonts w:ascii="Arial" w:hAnsi="Arial" w:cs="Arial"/>
                <w:sz w:val="22"/>
                <w:szCs w:val="22"/>
                <w:vertAlign w:val="superscript"/>
                <w:lang w:val="en-US" w:eastAsia="en-GB"/>
              </w:rPr>
              <w:t>1,2</w:t>
            </w:r>
            <w:r w:rsidRPr="005C0E32">
              <w:rPr>
                <w:rFonts w:ascii="Arial" w:hAnsi="Arial" w:cs="Arial"/>
                <w:sz w:val="22"/>
                <w:szCs w:val="22"/>
                <w:lang w:val="en-US" w:eastAsia="en-GB"/>
              </w:rPr>
              <w:t>, NS Cox</w:t>
            </w:r>
            <w:r w:rsidRPr="005C0E32">
              <w:rPr>
                <w:rFonts w:ascii="Arial" w:hAnsi="Arial" w:cs="Arial"/>
                <w:sz w:val="22"/>
                <w:szCs w:val="22"/>
                <w:vertAlign w:val="superscript"/>
                <w:lang w:val="en-US" w:eastAsia="en-GB"/>
              </w:rPr>
              <w:t>2,3</w:t>
            </w:r>
          </w:p>
        </w:tc>
      </w:tr>
      <w:tr w:rsidR="001564A4" w:rsidRPr="005C0E32" w14:paraId="385A19D9" w14:textId="77777777" w:rsidTr="005C0E32">
        <w:trPr>
          <w:trHeight w:val="184"/>
          <w:jc w:val="center"/>
        </w:trPr>
        <w:tc>
          <w:tcPr>
            <w:tcW w:w="8965" w:type="dxa"/>
            <w:shd w:val="clear" w:color="auto" w:fill="auto"/>
          </w:tcPr>
          <w:p w14:paraId="29696E15" w14:textId="77777777" w:rsidR="005D1BEA" w:rsidRPr="005C0E32" w:rsidRDefault="005D1BEA" w:rsidP="005D1BEA">
            <w:pPr>
              <w:spacing w:before="120" w:after="120"/>
              <w:rPr>
                <w:rFonts w:ascii="Arial" w:hAnsi="Arial" w:cs="Arial"/>
                <w:i/>
                <w:sz w:val="22"/>
                <w:szCs w:val="22"/>
                <w:lang w:val="en-US" w:eastAsia="en-GB"/>
              </w:rPr>
            </w:pPr>
            <w:r w:rsidRPr="005C0E32">
              <w:rPr>
                <w:rFonts w:ascii="Arial" w:hAnsi="Arial" w:cs="Arial"/>
                <w:i/>
                <w:sz w:val="22"/>
                <w:szCs w:val="22"/>
                <w:vertAlign w:val="superscript"/>
                <w:lang w:val="en-US" w:eastAsia="en-GB"/>
              </w:rPr>
              <w:t>1</w:t>
            </w:r>
            <w:r w:rsidRPr="005C0E32">
              <w:rPr>
                <w:rFonts w:ascii="Arial" w:hAnsi="Arial" w:cs="Arial"/>
                <w:i/>
                <w:sz w:val="22"/>
                <w:szCs w:val="22"/>
                <w:lang w:val="en-US" w:eastAsia="en-GB"/>
              </w:rPr>
              <w:t>Physiotherapy, Alfred Health, Melbourne, Australia</w:t>
            </w:r>
          </w:p>
          <w:p w14:paraId="4CB0D506" w14:textId="77777777" w:rsidR="005D1BEA" w:rsidRPr="005C0E32" w:rsidRDefault="005D1BEA" w:rsidP="005D1BEA">
            <w:pPr>
              <w:spacing w:before="120" w:after="120"/>
              <w:rPr>
                <w:rFonts w:ascii="Arial" w:hAnsi="Arial" w:cs="Arial"/>
                <w:i/>
                <w:sz w:val="22"/>
                <w:szCs w:val="22"/>
                <w:lang w:val="en-US" w:eastAsia="en-GB"/>
              </w:rPr>
            </w:pPr>
            <w:r w:rsidRPr="005C0E32">
              <w:rPr>
                <w:rFonts w:ascii="Arial" w:hAnsi="Arial" w:cs="Arial"/>
                <w:i/>
                <w:sz w:val="22"/>
                <w:szCs w:val="22"/>
                <w:vertAlign w:val="superscript"/>
                <w:lang w:val="en-US" w:eastAsia="en-GB"/>
              </w:rPr>
              <w:t>2</w:t>
            </w:r>
            <w:r w:rsidRPr="005C0E32">
              <w:rPr>
                <w:rFonts w:ascii="Arial" w:hAnsi="Arial" w:cs="Arial"/>
                <w:i/>
                <w:sz w:val="22"/>
                <w:szCs w:val="22"/>
                <w:lang w:val="en-US" w:eastAsia="en-GB"/>
              </w:rPr>
              <w:t xml:space="preserve">Respiratory Research@Alfred, Monash University, Melbourne, Australia </w:t>
            </w:r>
          </w:p>
          <w:p w14:paraId="45ED36BF" w14:textId="296DC570" w:rsidR="001564A4" w:rsidRPr="005C0E32" w:rsidRDefault="005D1BEA" w:rsidP="005D1BEA">
            <w:pPr>
              <w:spacing w:before="120" w:after="120"/>
              <w:rPr>
                <w:rFonts w:ascii="Arial" w:hAnsi="Arial" w:cs="Arial"/>
                <w:i/>
                <w:sz w:val="22"/>
                <w:szCs w:val="22"/>
                <w:lang w:val="en-US" w:eastAsia="en-GB"/>
              </w:rPr>
            </w:pPr>
            <w:r w:rsidRPr="005C0E32">
              <w:rPr>
                <w:rFonts w:ascii="Arial" w:hAnsi="Arial" w:cs="Arial"/>
                <w:i/>
                <w:sz w:val="22"/>
                <w:szCs w:val="22"/>
                <w:vertAlign w:val="superscript"/>
                <w:lang w:val="en-US" w:eastAsia="en-GB"/>
              </w:rPr>
              <w:t>3</w:t>
            </w:r>
            <w:r w:rsidRPr="005C0E32">
              <w:rPr>
                <w:rFonts w:ascii="Arial" w:hAnsi="Arial" w:cs="Arial"/>
                <w:i/>
                <w:sz w:val="22"/>
                <w:szCs w:val="22"/>
                <w:lang w:val="en-US" w:eastAsia="en-GB"/>
              </w:rPr>
              <w:t xml:space="preserve">Institute for Breathing and Sleep, Melbourne, Australia </w:t>
            </w:r>
          </w:p>
        </w:tc>
      </w:tr>
      <w:tr w:rsidR="001564A4" w:rsidRPr="005C0E32" w14:paraId="6DAF615A" w14:textId="77777777" w:rsidTr="005C0E32">
        <w:trPr>
          <w:trHeight w:hRule="exact" w:val="10007"/>
          <w:jc w:val="center"/>
        </w:trPr>
        <w:tc>
          <w:tcPr>
            <w:tcW w:w="8965" w:type="dxa"/>
            <w:shd w:val="clear" w:color="auto" w:fill="auto"/>
          </w:tcPr>
          <w:p w14:paraId="739E7937" w14:textId="146BDB36" w:rsidR="001564A4" w:rsidRPr="005C0E32" w:rsidRDefault="001564A4" w:rsidP="00035C44">
            <w:pPr>
              <w:pStyle w:val="Pa12"/>
              <w:spacing w:line="240" w:lineRule="auto"/>
              <w:rPr>
                <w:rStyle w:val="A4"/>
              </w:rPr>
            </w:pPr>
            <w:r w:rsidRPr="005C0E32">
              <w:rPr>
                <w:rStyle w:val="A4"/>
                <w:b/>
                <w:bCs/>
              </w:rPr>
              <w:t>Introducti</w:t>
            </w:r>
            <w:r w:rsidR="005D1BEA" w:rsidRPr="005C0E32">
              <w:rPr>
                <w:rStyle w:val="A4"/>
                <w:b/>
                <w:bCs/>
              </w:rPr>
              <w:t>on</w:t>
            </w:r>
            <w:r w:rsidRPr="005C0E32">
              <w:rPr>
                <w:rStyle w:val="A4"/>
                <w:b/>
                <w:bCs/>
              </w:rPr>
              <w:t xml:space="preserve">: </w:t>
            </w:r>
          </w:p>
          <w:p w14:paraId="451D9FEA" w14:textId="1BED8255" w:rsidR="005D1BEA" w:rsidRPr="005C0E32" w:rsidRDefault="005D1BEA" w:rsidP="00035C44">
            <w:pPr>
              <w:pStyle w:val="Pa12"/>
              <w:spacing w:line="240" w:lineRule="auto"/>
              <w:rPr>
                <w:rStyle w:val="A4"/>
              </w:rPr>
            </w:pPr>
            <w:r w:rsidRPr="005C0E32">
              <w:rPr>
                <w:rStyle w:val="A4"/>
              </w:rPr>
              <w:t>Attending</w:t>
            </w:r>
            <w:r w:rsidR="00035C44">
              <w:rPr>
                <w:rStyle w:val="A4"/>
              </w:rPr>
              <w:t xml:space="preserve"> </w:t>
            </w:r>
            <w:r w:rsidRPr="005C0E32">
              <w:rPr>
                <w:rStyle w:val="A4"/>
              </w:rPr>
              <w:t xml:space="preserve">centre-based pulmonary rehabilitation (CBPR) creates opportunity for socialisation and community engagement. It is possible home-based programs contributes to social isolation. </w:t>
            </w:r>
          </w:p>
          <w:p w14:paraId="3D770CF7" w14:textId="77777777" w:rsidR="001564A4" w:rsidRPr="005C0E32" w:rsidRDefault="001564A4" w:rsidP="00035C44">
            <w:pPr>
              <w:pStyle w:val="Pa12"/>
              <w:spacing w:line="240" w:lineRule="auto"/>
              <w:rPr>
                <w:rStyle w:val="A4"/>
                <w:bCs/>
              </w:rPr>
            </w:pPr>
          </w:p>
          <w:p w14:paraId="0F61634E" w14:textId="77777777" w:rsidR="005D1BEA" w:rsidRPr="005C0E32" w:rsidRDefault="005D1BEA" w:rsidP="00035C44">
            <w:pPr>
              <w:pStyle w:val="Pa12"/>
              <w:spacing w:line="240" w:lineRule="auto"/>
              <w:rPr>
                <w:rStyle w:val="A4"/>
              </w:rPr>
            </w:pPr>
            <w:r w:rsidRPr="005C0E32">
              <w:rPr>
                <w:rStyle w:val="A4"/>
                <w:b/>
                <w:bCs/>
              </w:rPr>
              <w:t>Aim:</w:t>
            </w:r>
            <w:r w:rsidRPr="005C0E32">
              <w:rPr>
                <w:rStyle w:val="A4"/>
              </w:rPr>
              <w:t xml:space="preserve"> To determine if location of pulmonary rehabilitation influences time spent outside in people with chronic lung disease. </w:t>
            </w:r>
          </w:p>
          <w:p w14:paraId="7CCFAB24" w14:textId="77777777" w:rsidR="005D1BEA" w:rsidRPr="005C0E32" w:rsidRDefault="005D1BEA" w:rsidP="00035C44">
            <w:pPr>
              <w:pStyle w:val="Default"/>
              <w:rPr>
                <w:sz w:val="22"/>
                <w:szCs w:val="22"/>
              </w:rPr>
            </w:pPr>
          </w:p>
          <w:p w14:paraId="1B39336E" w14:textId="77777777" w:rsidR="001564A4" w:rsidRPr="005C0E32" w:rsidRDefault="001564A4" w:rsidP="00035C44">
            <w:pPr>
              <w:pStyle w:val="Pa12"/>
              <w:spacing w:line="240" w:lineRule="auto"/>
              <w:rPr>
                <w:rStyle w:val="A4"/>
                <w:b/>
                <w:bCs/>
              </w:rPr>
            </w:pPr>
            <w:r w:rsidRPr="005C0E32">
              <w:rPr>
                <w:rStyle w:val="A4"/>
                <w:b/>
                <w:bCs/>
              </w:rPr>
              <w:t xml:space="preserve">Methods: </w:t>
            </w:r>
          </w:p>
          <w:p w14:paraId="69E87C7B" w14:textId="77777777" w:rsidR="005D1BEA" w:rsidRPr="005C0E32" w:rsidRDefault="005D1BEA" w:rsidP="00035C44">
            <w:pPr>
              <w:pStyle w:val="Pa12"/>
              <w:spacing w:line="240" w:lineRule="auto"/>
              <w:rPr>
                <w:rStyle w:val="A4"/>
              </w:rPr>
            </w:pPr>
            <w:r w:rsidRPr="005C0E32">
              <w:rPr>
                <w:rStyle w:val="A4"/>
              </w:rPr>
              <w:t>Secondary analysis of a randomised controlled equivalence trial comparing telerehabilitation to CBPR in people with chronic lung disease. Both programs were 2 sessions/week for 8 weeks, with telerehabilitation participants undertaking their program in a virtual group at home. At baseline and end intervention, participants reported time spent away from their home (days outside in the previous week).</w:t>
            </w:r>
          </w:p>
          <w:p w14:paraId="5029BAE6" w14:textId="77777777" w:rsidR="001564A4" w:rsidRPr="005C0E32" w:rsidRDefault="001564A4" w:rsidP="00035C44">
            <w:pPr>
              <w:pStyle w:val="Pa12"/>
              <w:spacing w:line="240" w:lineRule="auto"/>
              <w:rPr>
                <w:rStyle w:val="A4"/>
                <w:bCs/>
              </w:rPr>
            </w:pPr>
          </w:p>
          <w:p w14:paraId="6BF3F094" w14:textId="77777777" w:rsidR="001564A4" w:rsidRPr="005C0E32" w:rsidRDefault="001564A4" w:rsidP="00035C44">
            <w:pPr>
              <w:pStyle w:val="Pa12"/>
              <w:spacing w:line="240" w:lineRule="auto"/>
              <w:rPr>
                <w:rStyle w:val="A4"/>
                <w:b/>
                <w:bCs/>
              </w:rPr>
            </w:pPr>
            <w:r w:rsidRPr="005C0E32">
              <w:rPr>
                <w:rStyle w:val="A4"/>
                <w:b/>
                <w:bCs/>
              </w:rPr>
              <w:t xml:space="preserve">Results: </w:t>
            </w:r>
          </w:p>
          <w:p w14:paraId="12DC89ED" w14:textId="6D6BC58B" w:rsidR="005D1BEA" w:rsidRPr="005C0E32" w:rsidRDefault="005D1BEA" w:rsidP="00035C44">
            <w:pPr>
              <w:pStyle w:val="Pa12"/>
              <w:spacing w:line="240" w:lineRule="auto"/>
              <w:rPr>
                <w:sz w:val="22"/>
                <w:szCs w:val="22"/>
              </w:rPr>
            </w:pPr>
            <w:bookmarkStart w:id="1" w:name="_Hlk145510839"/>
            <w:r w:rsidRPr="005C0E32">
              <w:rPr>
                <w:sz w:val="22"/>
                <w:szCs w:val="22"/>
              </w:rPr>
              <w:t>142 participants, n=76 (54%) females, mean (SD) age 67(9) years, 6-minute walk distance (6MWD) 426(103)</w:t>
            </w:r>
            <w:r w:rsidR="005C0E32">
              <w:rPr>
                <w:sz w:val="22"/>
                <w:szCs w:val="22"/>
              </w:rPr>
              <w:t xml:space="preserve"> </w:t>
            </w:r>
            <w:r w:rsidRPr="005C0E32">
              <w:rPr>
                <w:sz w:val="22"/>
                <w:szCs w:val="22"/>
              </w:rPr>
              <w:t>metres and FEV</w:t>
            </w:r>
            <w:r w:rsidRPr="005C0E32">
              <w:rPr>
                <w:sz w:val="22"/>
                <w:szCs w:val="22"/>
                <w:vertAlign w:val="subscript"/>
              </w:rPr>
              <w:t>1</w:t>
            </w:r>
            <w:r w:rsidRPr="005C0E32">
              <w:rPr>
                <w:sz w:val="22"/>
                <w:szCs w:val="22"/>
              </w:rPr>
              <w:t xml:space="preserve"> 61(25) %predicted were included. Diagnoses included COPD (n=100), bronchiectasis (n=19), asthma (n=12) and ILD (n=11).</w:t>
            </w:r>
          </w:p>
          <w:bookmarkEnd w:id="1"/>
          <w:p w14:paraId="31A3FD2D" w14:textId="77777777" w:rsidR="005D1BEA" w:rsidRPr="005C0E32" w:rsidRDefault="005D1BEA" w:rsidP="00035C44">
            <w:pPr>
              <w:pStyle w:val="Default"/>
              <w:rPr>
                <w:sz w:val="22"/>
                <w:szCs w:val="22"/>
              </w:rPr>
            </w:pPr>
          </w:p>
          <w:p w14:paraId="7B346409" w14:textId="77777777" w:rsidR="005D1BEA" w:rsidRPr="005C0E32" w:rsidRDefault="005D1BEA" w:rsidP="00035C44">
            <w:pPr>
              <w:pStyle w:val="Default"/>
              <w:rPr>
                <w:sz w:val="22"/>
                <w:szCs w:val="22"/>
              </w:rPr>
            </w:pPr>
            <w:bookmarkStart w:id="2" w:name="_Hlk145510843"/>
            <w:r w:rsidRPr="005C0E32">
              <w:rPr>
                <w:sz w:val="22"/>
                <w:szCs w:val="22"/>
              </w:rPr>
              <w:t xml:space="preserve">131 participants reported time outside at end rehabilitation. There was no difference between groups for days spent outside the house (both groups median [interquartile range 7[5-7] days, </w:t>
            </w:r>
            <w:r w:rsidRPr="005C0E32">
              <w:rPr>
                <w:i/>
                <w:iCs/>
                <w:sz w:val="22"/>
                <w:szCs w:val="22"/>
              </w:rPr>
              <w:t>Z</w:t>
            </w:r>
            <w:r w:rsidRPr="005C0E32">
              <w:rPr>
                <w:sz w:val="22"/>
                <w:szCs w:val="22"/>
              </w:rPr>
              <w:t>=-0.8</w:t>
            </w:r>
            <w:r w:rsidRPr="005C0E32">
              <w:rPr>
                <w:i/>
                <w:iCs/>
                <w:sz w:val="22"/>
                <w:szCs w:val="22"/>
              </w:rPr>
              <w:t xml:space="preserve">, </w:t>
            </w:r>
            <w:r w:rsidRPr="005C0E32">
              <w:rPr>
                <w:sz w:val="22"/>
                <w:szCs w:val="22"/>
              </w:rPr>
              <w:t>p=0.5). More time spent outside at end rehabilitation was associated with greater time outside at baseline, higher 6MWD and self-efficacy (PRAISE), PR completion and less symptoms of depression (all r</w:t>
            </w:r>
            <w:r w:rsidRPr="005C0E32">
              <w:rPr>
                <w:sz w:val="22"/>
                <w:szCs w:val="22"/>
                <w:vertAlign w:val="subscript"/>
              </w:rPr>
              <w:t>s</w:t>
            </w:r>
            <w:r w:rsidRPr="005C0E32">
              <w:rPr>
                <w:sz w:val="22"/>
                <w:szCs w:val="22"/>
              </w:rPr>
              <w:t>≥0.2, p≤0.02).</w:t>
            </w:r>
          </w:p>
          <w:p w14:paraId="23EEB26B" w14:textId="77777777" w:rsidR="005D1BEA" w:rsidRPr="005C0E32" w:rsidRDefault="005D1BEA" w:rsidP="00035C44">
            <w:pPr>
              <w:pStyle w:val="Default"/>
              <w:rPr>
                <w:rFonts w:eastAsiaTheme="minorEastAsia"/>
                <w:sz w:val="22"/>
                <w:szCs w:val="22"/>
                <w:lang w:eastAsia="zh-CN"/>
              </w:rPr>
            </w:pPr>
          </w:p>
          <w:p w14:paraId="173F842C" w14:textId="77777777" w:rsidR="005D1BEA" w:rsidRPr="005C0E32" w:rsidRDefault="005D1BEA" w:rsidP="00035C44">
            <w:pPr>
              <w:pStyle w:val="Pa12"/>
              <w:spacing w:line="240" w:lineRule="auto"/>
              <w:rPr>
                <w:color w:val="000000"/>
                <w:sz w:val="22"/>
                <w:szCs w:val="22"/>
                <w:shd w:val="clear" w:color="auto" w:fill="FFFFFF"/>
              </w:rPr>
            </w:pPr>
            <w:bookmarkStart w:id="3" w:name="_Hlk146527655"/>
            <w:bookmarkStart w:id="4" w:name="_Hlk145510849"/>
            <w:bookmarkEnd w:id="2"/>
            <w:r w:rsidRPr="005C0E32">
              <w:rPr>
                <w:color w:val="000000"/>
                <w:sz w:val="22"/>
                <w:szCs w:val="22"/>
                <w:shd w:val="clear" w:color="auto" w:fill="FFFFFF"/>
              </w:rPr>
              <w:t xml:space="preserve">In a multiple linear regression model including PR completion, </w:t>
            </w:r>
            <w:r w:rsidRPr="005C0E32">
              <w:rPr>
                <w:color w:val="000000" w:themeColor="text1"/>
                <w:sz w:val="22"/>
                <w:szCs w:val="22"/>
              </w:rPr>
              <w:t xml:space="preserve">changes in </w:t>
            </w:r>
            <w:r w:rsidRPr="005C0E32">
              <w:rPr>
                <w:color w:val="000000"/>
                <w:sz w:val="22"/>
                <w:szCs w:val="22"/>
                <w:shd w:val="clear" w:color="auto" w:fill="FFFFFF"/>
              </w:rPr>
              <w:t>6MWD, depression and self-efficacy, and controlling for time outside at baseline and disease severity</w:t>
            </w:r>
            <w:bookmarkEnd w:id="3"/>
            <w:r w:rsidRPr="005C0E32">
              <w:rPr>
                <w:color w:val="000000"/>
                <w:sz w:val="22"/>
                <w:szCs w:val="22"/>
                <w:shd w:val="clear" w:color="auto" w:fill="FFFFFF"/>
              </w:rPr>
              <w:t>;</w:t>
            </w:r>
            <w:r w:rsidRPr="005C0E32">
              <w:rPr>
                <w:color w:val="000000" w:themeColor="text1"/>
                <w:sz w:val="22"/>
                <w:szCs w:val="22"/>
              </w:rPr>
              <w:t xml:space="preserve"> ∆6MWD and PR completion were independent predictors of time outside at end rehabilitation (p&lt;0.001). This model explained 35% of the variation in time outside, of which 15% was attributable to ∆6MWD alone.</w:t>
            </w:r>
          </w:p>
          <w:bookmarkEnd w:id="4"/>
          <w:p w14:paraId="652F7BE1" w14:textId="303EE5C7" w:rsidR="001564A4" w:rsidRPr="005C0E32" w:rsidRDefault="001564A4" w:rsidP="00035C44">
            <w:pPr>
              <w:pStyle w:val="Pa12"/>
              <w:spacing w:line="240" w:lineRule="auto"/>
              <w:rPr>
                <w:rStyle w:val="A4"/>
                <w:color w:val="auto"/>
              </w:rPr>
            </w:pPr>
            <w:r w:rsidRPr="005C0E32">
              <w:rPr>
                <w:sz w:val="22"/>
                <w:szCs w:val="22"/>
              </w:rPr>
              <w:br/>
            </w:r>
            <w:r w:rsidR="005D1BEA" w:rsidRPr="005C0E32">
              <w:rPr>
                <w:b/>
                <w:bCs/>
                <w:sz w:val="22"/>
                <w:szCs w:val="22"/>
              </w:rPr>
              <w:t>C</w:t>
            </w:r>
            <w:r w:rsidRPr="005C0E32">
              <w:rPr>
                <w:rStyle w:val="A4"/>
                <w:b/>
                <w:bCs/>
              </w:rPr>
              <w:t xml:space="preserve">onclusion: </w:t>
            </w:r>
          </w:p>
          <w:p w14:paraId="5841AE60" w14:textId="77777777" w:rsidR="005D1BEA" w:rsidRPr="005C0E32" w:rsidRDefault="005D1BEA" w:rsidP="00035C44">
            <w:pPr>
              <w:pStyle w:val="Pa12"/>
              <w:spacing w:line="240" w:lineRule="auto"/>
              <w:rPr>
                <w:sz w:val="22"/>
                <w:szCs w:val="22"/>
              </w:rPr>
            </w:pPr>
            <w:r w:rsidRPr="005C0E32">
              <w:rPr>
                <w:sz w:val="22"/>
                <w:szCs w:val="22"/>
              </w:rPr>
              <w:t>Home based telerehabilitation did not reduce time spent outside of the home. This is important considering the impact of social isolation on increased hospitalisation risk in those living with chronic respiratory disease.</w:t>
            </w:r>
          </w:p>
          <w:p w14:paraId="7F8381F0" w14:textId="16C0EFA9" w:rsidR="001564A4" w:rsidRPr="005C0E32" w:rsidRDefault="001564A4" w:rsidP="00035C44">
            <w:pPr>
              <w:pStyle w:val="Pa12"/>
              <w:spacing w:line="240" w:lineRule="auto"/>
              <w:rPr>
                <w:sz w:val="22"/>
                <w:szCs w:val="22"/>
              </w:rPr>
            </w:pPr>
            <w:r w:rsidRPr="005C0E32">
              <w:rPr>
                <w:sz w:val="22"/>
                <w:szCs w:val="22"/>
              </w:rPr>
              <w:br/>
            </w:r>
            <w:r w:rsidR="005D1BEA" w:rsidRPr="005C0E32">
              <w:rPr>
                <w:rStyle w:val="A4"/>
                <w:b/>
                <w:bCs/>
              </w:rPr>
              <w:t>Grant Support</w:t>
            </w:r>
            <w:r w:rsidR="005C0E32" w:rsidRPr="005C0E32">
              <w:rPr>
                <w:rStyle w:val="A4"/>
                <w:b/>
                <w:bCs/>
              </w:rPr>
              <w:t xml:space="preserve">: </w:t>
            </w:r>
            <w:r w:rsidR="005D1BEA" w:rsidRPr="005C0E32">
              <w:rPr>
                <w:sz w:val="22"/>
                <w:szCs w:val="22"/>
              </w:rPr>
              <w:t>NHMRC project grant (GNT 1101616).</w:t>
            </w:r>
            <w:r w:rsidRPr="005C0E32">
              <w:rPr>
                <w:sz w:val="22"/>
                <w:szCs w:val="22"/>
              </w:rPr>
              <w:br/>
            </w:r>
            <w:r w:rsidRPr="005C0E32">
              <w:rPr>
                <w:sz w:val="22"/>
                <w:szCs w:val="22"/>
              </w:rPr>
              <w:br/>
            </w:r>
            <w:r w:rsidRPr="005C0E32">
              <w:rPr>
                <w:sz w:val="22"/>
                <w:szCs w:val="22"/>
              </w:rPr>
              <w:br/>
            </w:r>
            <w:r w:rsidRPr="005C0E32">
              <w:rPr>
                <w:sz w:val="22"/>
                <w:szCs w:val="22"/>
              </w:rPr>
              <w:br/>
            </w:r>
            <w:r w:rsidRPr="005C0E32">
              <w:rPr>
                <w:sz w:val="22"/>
                <w:szCs w:val="22"/>
              </w:rPr>
              <w:br/>
            </w:r>
          </w:p>
          <w:p w14:paraId="731CD908" w14:textId="77777777" w:rsidR="001564A4" w:rsidRPr="005C0E32" w:rsidRDefault="001564A4" w:rsidP="000A28E2">
            <w:pPr>
              <w:pStyle w:val="Default"/>
              <w:rPr>
                <w:sz w:val="22"/>
                <w:szCs w:val="22"/>
              </w:rPr>
            </w:pPr>
          </w:p>
          <w:p w14:paraId="34BF0A0F" w14:textId="77777777" w:rsidR="001564A4" w:rsidRPr="005C0E32" w:rsidRDefault="001564A4" w:rsidP="000A28E2">
            <w:pPr>
              <w:pStyle w:val="Default"/>
              <w:rPr>
                <w:sz w:val="22"/>
                <w:szCs w:val="22"/>
              </w:rPr>
            </w:pPr>
          </w:p>
          <w:p w14:paraId="1FF1A88F" w14:textId="77777777" w:rsidR="001564A4" w:rsidRPr="005C0E32" w:rsidRDefault="001564A4" w:rsidP="000A28E2">
            <w:pPr>
              <w:pStyle w:val="Pa12"/>
              <w:rPr>
                <w:rStyle w:val="A4"/>
                <w:bCs/>
              </w:rPr>
            </w:pP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r w:rsidRPr="005C0E32">
              <w:rPr>
                <w:rStyle w:val="A4"/>
                <w:bCs/>
              </w:rPr>
              <w:br/>
            </w:r>
          </w:p>
          <w:p w14:paraId="14DC37E4" w14:textId="77777777" w:rsidR="001564A4" w:rsidRPr="005C0E32" w:rsidRDefault="001564A4" w:rsidP="000A28E2">
            <w:pPr>
              <w:pStyle w:val="Default"/>
              <w:rPr>
                <w:rStyle w:val="A4"/>
                <w:bCs/>
              </w:rPr>
            </w:pPr>
          </w:p>
          <w:p w14:paraId="5F58D34F" w14:textId="77777777" w:rsidR="001564A4" w:rsidRPr="005C0E32" w:rsidRDefault="001564A4" w:rsidP="000A28E2">
            <w:pPr>
              <w:pStyle w:val="Default"/>
              <w:rPr>
                <w:sz w:val="22"/>
                <w:szCs w:val="22"/>
                <w:lang w:val="en-US" w:eastAsia="en-GB"/>
              </w:rPr>
            </w:pP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r w:rsidRPr="005C0E32">
              <w:rPr>
                <w:sz w:val="22"/>
                <w:szCs w:val="22"/>
                <w:lang w:val="en-US" w:eastAsia="en-GB"/>
              </w:rPr>
              <w:br/>
            </w:r>
          </w:p>
        </w:tc>
      </w:tr>
    </w:tbl>
    <w:p w14:paraId="7C36A9DC" w14:textId="32A70617" w:rsidR="00E0700F" w:rsidRPr="005C0E32" w:rsidRDefault="00E0700F" w:rsidP="001564A4">
      <w:pPr>
        <w:rPr>
          <w:sz w:val="22"/>
          <w:szCs w:val="22"/>
        </w:rPr>
      </w:pPr>
    </w:p>
    <w:sectPr w:rsidR="00E0700F" w:rsidRPr="005C0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5C44"/>
    <w:rsid w:val="001564A4"/>
    <w:rsid w:val="003E051A"/>
    <w:rsid w:val="0051574E"/>
    <w:rsid w:val="005C0E32"/>
    <w:rsid w:val="005D1BEA"/>
    <w:rsid w:val="008803FA"/>
    <w:rsid w:val="00941BDD"/>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purl.org/dc/elements/1.1/"/>
    <ds:schemaRef ds:uri="9c8a2b7b-0bee-4c48-b0a6-23db8982d3bc"/>
    <ds:schemaRef ds:uri="http://purl.org/dc/dcmitype/"/>
    <ds:schemaRef ds:uri="http://schemas.microsoft.com/office/2006/metadata/properties"/>
    <ds:schemaRef ds:uri="http://schemas.microsoft.com/office/2006/documentManagement/types"/>
    <ds:schemaRef ds:uri="6911e96c-4cc4-42d5-8e43-f93924cf6a05"/>
    <ds:schemaRef ds:uri="http://purl.org/dc/terms/"/>
    <ds:schemaRef ds:uri="cab52c9b-ab33-4221-8af9-54f8f2b86a80"/>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2023-10-16T02:24:00Z</dcterms:created>
  <dcterms:modified xsi:type="dcterms:W3CDTF">2023-10-16T02:24:00Z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