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AB82B" w14:textId="77777777" w:rsidR="00FE2E86" w:rsidRDefault="00FE2E86"/>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FE2E86" w14:paraId="5C41DFA4" w14:textId="77777777">
        <w:tc>
          <w:tcPr>
            <w:tcW w:w="8640" w:type="dxa"/>
            <w:shd w:val="clear" w:color="auto" w:fill="F2F2F2"/>
          </w:tcPr>
          <w:p w14:paraId="2832BF3E" w14:textId="35B18BC5" w:rsidR="00FE2E86" w:rsidRPr="00504A83" w:rsidRDefault="00504A83">
            <w:pPr>
              <w:jc w:val="both"/>
              <w:rPr>
                <w:rFonts w:ascii="Arial" w:eastAsia="Arial" w:hAnsi="Arial" w:cs="Arial"/>
                <w:bCs/>
                <w:i/>
                <w:iCs/>
                <w:sz w:val="22"/>
                <w:szCs w:val="22"/>
              </w:rPr>
            </w:pPr>
            <w:r w:rsidRPr="00504A83">
              <w:rPr>
                <w:rFonts w:ascii="Arial" w:eastAsia="Arial" w:hAnsi="Arial" w:cs="Arial"/>
                <w:bCs/>
                <w:i/>
                <w:iCs/>
                <w:sz w:val="22"/>
                <w:szCs w:val="22"/>
              </w:rPr>
              <w:t>Panel</w:t>
            </w:r>
          </w:p>
          <w:p w14:paraId="3DDF862A" w14:textId="77777777" w:rsidR="00FE2E86" w:rsidRPr="00504A83" w:rsidRDefault="00197F62">
            <w:pPr>
              <w:jc w:val="both"/>
              <w:rPr>
                <w:rFonts w:ascii="Arial" w:eastAsia="Arial" w:hAnsi="Arial" w:cs="Arial"/>
                <w:b/>
                <w:bCs/>
                <w:sz w:val="22"/>
                <w:szCs w:val="22"/>
              </w:rPr>
            </w:pPr>
            <w:r w:rsidRPr="00504A83">
              <w:rPr>
                <w:rFonts w:ascii="Arial" w:eastAsia="Arial" w:hAnsi="Arial" w:cs="Arial"/>
                <w:b/>
                <w:bCs/>
                <w:sz w:val="22"/>
                <w:szCs w:val="22"/>
              </w:rPr>
              <w:t>Adaptation funding and financing: Who should pay, why and how for climate risk reduction?</w:t>
            </w:r>
          </w:p>
          <w:p w14:paraId="432ACE87" w14:textId="77777777" w:rsidR="00FE2E86" w:rsidRDefault="00FE2E86">
            <w:pPr>
              <w:jc w:val="both"/>
              <w:rPr>
                <w:rFonts w:ascii="Arial" w:eastAsia="Arial" w:hAnsi="Arial" w:cs="Arial"/>
                <w:sz w:val="22"/>
                <w:szCs w:val="22"/>
              </w:rPr>
            </w:pPr>
          </w:p>
        </w:tc>
      </w:tr>
      <w:tr w:rsidR="00FE2E86" w14:paraId="40CFAE31" w14:textId="77777777">
        <w:trPr>
          <w:trHeight w:val="2016"/>
        </w:trPr>
        <w:tc>
          <w:tcPr>
            <w:tcW w:w="8640" w:type="dxa"/>
          </w:tcPr>
          <w:p w14:paraId="7B5AC6B7" w14:textId="77777777" w:rsidR="00FE2E86" w:rsidRDefault="00FE2E86">
            <w:pPr>
              <w:jc w:val="both"/>
              <w:rPr>
                <w:rFonts w:ascii="Arial" w:eastAsia="Arial" w:hAnsi="Arial" w:cs="Arial"/>
                <w:b/>
                <w:sz w:val="22"/>
                <w:szCs w:val="22"/>
              </w:rPr>
            </w:pPr>
          </w:p>
          <w:p w14:paraId="64866399"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Finance is a significant barrier for climate adaptation that often stalls action. Yet there is insufficient knowledge on how funding and financing can be delivered. </w:t>
            </w:r>
          </w:p>
          <w:p w14:paraId="12A7CDDC" w14:textId="77777777" w:rsidR="00FE2E86" w:rsidRDefault="00FE2E86">
            <w:pPr>
              <w:jc w:val="both"/>
              <w:rPr>
                <w:rFonts w:ascii="Arial" w:eastAsia="Arial" w:hAnsi="Arial" w:cs="Arial"/>
                <w:sz w:val="22"/>
                <w:szCs w:val="22"/>
              </w:rPr>
            </w:pPr>
          </w:p>
          <w:p w14:paraId="4A912C44" w14:textId="77777777" w:rsidR="00FE2E86" w:rsidRDefault="00197F62">
            <w:pPr>
              <w:jc w:val="both"/>
              <w:rPr>
                <w:rFonts w:ascii="Arial" w:eastAsia="Arial" w:hAnsi="Arial" w:cs="Arial"/>
                <w:sz w:val="22"/>
                <w:szCs w:val="22"/>
              </w:rPr>
            </w:pPr>
            <w:r>
              <w:rPr>
                <w:rFonts w:ascii="Arial" w:eastAsia="Arial" w:hAnsi="Arial" w:cs="Arial"/>
                <w:sz w:val="22"/>
                <w:szCs w:val="22"/>
              </w:rPr>
              <w:t>Adaptation needs to be appropriate for the communities in which it happens.  This means that the mechanisms to fund adaptation need to be flexible enough to suit various contexts.</w:t>
            </w:r>
          </w:p>
          <w:p w14:paraId="3E5C0126" w14:textId="77777777" w:rsidR="00FE2E86" w:rsidRDefault="00FE2E86">
            <w:pPr>
              <w:jc w:val="both"/>
              <w:rPr>
                <w:rFonts w:ascii="Arial" w:eastAsia="Arial" w:hAnsi="Arial" w:cs="Arial"/>
                <w:sz w:val="22"/>
                <w:szCs w:val="22"/>
              </w:rPr>
            </w:pPr>
          </w:p>
          <w:p w14:paraId="6AA4DD7A" w14:textId="77777777" w:rsidR="00FE2E86" w:rsidRDefault="00197F62">
            <w:pPr>
              <w:jc w:val="both"/>
              <w:rPr>
                <w:rFonts w:ascii="Arial" w:eastAsia="Arial" w:hAnsi="Arial" w:cs="Arial"/>
                <w:sz w:val="22"/>
                <w:szCs w:val="22"/>
              </w:rPr>
            </w:pPr>
            <w:proofErr w:type="gramStart"/>
            <w:r>
              <w:rPr>
                <w:rFonts w:ascii="Arial" w:eastAsia="Arial" w:hAnsi="Arial" w:cs="Arial"/>
                <w:sz w:val="22"/>
                <w:szCs w:val="22"/>
              </w:rPr>
              <w:t>It is clear that the</w:t>
            </w:r>
            <w:proofErr w:type="gramEnd"/>
            <w:r>
              <w:rPr>
                <w:rFonts w:ascii="Arial" w:eastAsia="Arial" w:hAnsi="Arial" w:cs="Arial"/>
                <w:sz w:val="22"/>
                <w:szCs w:val="22"/>
              </w:rPr>
              <w:t xml:space="preserve"> status quo is inadequate (UNEP 2024), and that conventional investment logics are not well-aligned to the actual needs of long-term risk reduction (Pelling and Manuel-Navarrete 2011; Mortimer, Whelan &amp; Lee 2020).  Investment is needed from a wide range of sources, including Government, investment funds, communities and property owners (Bose 2022; Hall 2022; Climate Change Committee 2023; Expert Working Group on Managed Retreat 2024; Ranger et al. 2025; OECD 2025).</w:t>
            </w:r>
          </w:p>
          <w:p w14:paraId="51D186E2" w14:textId="77777777" w:rsidR="00FE2E86" w:rsidRDefault="00FE2E86">
            <w:pPr>
              <w:jc w:val="both"/>
              <w:rPr>
                <w:rFonts w:ascii="Arial" w:eastAsia="Arial" w:hAnsi="Arial" w:cs="Arial"/>
                <w:sz w:val="22"/>
                <w:szCs w:val="22"/>
              </w:rPr>
            </w:pPr>
          </w:p>
          <w:p w14:paraId="6E3065B7" w14:textId="77777777" w:rsidR="00FE2E86" w:rsidRDefault="00197F62">
            <w:pPr>
              <w:jc w:val="both"/>
              <w:rPr>
                <w:rFonts w:ascii="Arial" w:eastAsia="Arial" w:hAnsi="Arial" w:cs="Arial"/>
                <w:sz w:val="22"/>
                <w:szCs w:val="22"/>
              </w:rPr>
            </w:pPr>
            <w:r>
              <w:rPr>
                <w:rFonts w:ascii="Arial" w:eastAsia="Arial" w:hAnsi="Arial" w:cs="Arial"/>
                <w:sz w:val="22"/>
                <w:szCs w:val="22"/>
              </w:rPr>
              <w:t>Much more work is needed to develop new instruments, investment logics and strategic frameworks that might bridge the adaptation financing gap. These approaches need to be feasible in the context of the political economy constraints faced by governments and financial sector actors</w:t>
            </w:r>
          </w:p>
          <w:p w14:paraId="51BB009C" w14:textId="77777777" w:rsidR="00FE2E86" w:rsidRDefault="00FE2E86">
            <w:pPr>
              <w:jc w:val="both"/>
              <w:rPr>
                <w:rFonts w:ascii="Arial" w:eastAsia="Arial" w:hAnsi="Arial" w:cs="Arial"/>
                <w:sz w:val="22"/>
                <w:szCs w:val="22"/>
              </w:rPr>
            </w:pPr>
          </w:p>
          <w:p w14:paraId="0E134681"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We can learn from innovative mechanisms and investment paradigms being developed and implemented to better attract and direct finance (e.g. Toha Network, Morphosis, Transformation Capital Initiative), while also supporting other measures like climate risk disclosures and sustainable finance taxonomies.  </w:t>
            </w:r>
          </w:p>
          <w:p w14:paraId="14847093" w14:textId="77777777" w:rsidR="00FE2E86" w:rsidRDefault="00FE2E86">
            <w:pPr>
              <w:jc w:val="both"/>
              <w:rPr>
                <w:rFonts w:ascii="Arial" w:eastAsia="Arial" w:hAnsi="Arial" w:cs="Arial"/>
                <w:sz w:val="22"/>
                <w:szCs w:val="22"/>
              </w:rPr>
            </w:pPr>
          </w:p>
          <w:p w14:paraId="37DF633C"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This panel brings together diverse perspectives to chart a course ahead for adaptation funding and financing to minimise the expected long-term costs of climate change. The panel will </w:t>
            </w:r>
            <w:proofErr w:type="gramStart"/>
            <w:r>
              <w:rPr>
                <w:rFonts w:ascii="Arial" w:eastAsia="Arial" w:hAnsi="Arial" w:cs="Arial"/>
                <w:sz w:val="22"/>
                <w:szCs w:val="22"/>
              </w:rPr>
              <w:t>explores</w:t>
            </w:r>
            <w:proofErr w:type="gramEnd"/>
            <w:r>
              <w:rPr>
                <w:rFonts w:ascii="Arial" w:eastAsia="Arial" w:hAnsi="Arial" w:cs="Arial"/>
                <w:sz w:val="22"/>
                <w:szCs w:val="22"/>
              </w:rPr>
              <w:t xml:space="preserve"> questions like:</w:t>
            </w:r>
          </w:p>
          <w:p w14:paraId="0FEED89B" w14:textId="77777777" w:rsidR="00FE2E86" w:rsidRDefault="00FE2E86">
            <w:pPr>
              <w:jc w:val="both"/>
              <w:rPr>
                <w:rFonts w:ascii="Arial" w:eastAsia="Arial" w:hAnsi="Arial" w:cs="Arial"/>
                <w:b/>
                <w:sz w:val="22"/>
                <w:szCs w:val="22"/>
              </w:rPr>
            </w:pPr>
          </w:p>
          <w:p w14:paraId="58F863AF" w14:textId="77777777" w:rsidR="00FE2E86" w:rsidRDefault="00197F62">
            <w:pPr>
              <w:numPr>
                <w:ilvl w:val="0"/>
                <w:numId w:val="3"/>
              </w:numPr>
              <w:jc w:val="both"/>
              <w:rPr>
                <w:rFonts w:ascii="Arial" w:eastAsia="Arial" w:hAnsi="Arial" w:cs="Arial"/>
                <w:sz w:val="22"/>
                <w:szCs w:val="22"/>
              </w:rPr>
            </w:pPr>
            <w:r>
              <w:rPr>
                <w:rFonts w:ascii="Arial" w:eastAsia="Arial" w:hAnsi="Arial" w:cs="Arial"/>
                <w:sz w:val="22"/>
                <w:szCs w:val="22"/>
              </w:rPr>
              <w:t>Who has duties to pay for what?</w:t>
            </w:r>
          </w:p>
          <w:p w14:paraId="4C152550" w14:textId="77777777" w:rsidR="00FE2E86" w:rsidRDefault="00197F62">
            <w:pPr>
              <w:numPr>
                <w:ilvl w:val="0"/>
                <w:numId w:val="3"/>
              </w:numPr>
              <w:jc w:val="both"/>
              <w:rPr>
                <w:rFonts w:ascii="Arial" w:eastAsia="Arial" w:hAnsi="Arial" w:cs="Arial"/>
                <w:sz w:val="22"/>
                <w:szCs w:val="22"/>
              </w:rPr>
            </w:pPr>
            <w:r>
              <w:rPr>
                <w:rFonts w:ascii="Arial" w:eastAsia="Arial" w:hAnsi="Arial" w:cs="Arial"/>
                <w:sz w:val="22"/>
                <w:szCs w:val="22"/>
              </w:rPr>
              <w:t>What financial instruments are available? How can these be rolled out at scale?</w:t>
            </w:r>
          </w:p>
          <w:p w14:paraId="624547C0" w14:textId="77777777" w:rsidR="00FE2E86" w:rsidRDefault="00197F62">
            <w:pPr>
              <w:numPr>
                <w:ilvl w:val="0"/>
                <w:numId w:val="3"/>
              </w:numPr>
              <w:jc w:val="both"/>
              <w:rPr>
                <w:rFonts w:ascii="Arial" w:eastAsia="Arial" w:hAnsi="Arial" w:cs="Arial"/>
                <w:sz w:val="22"/>
                <w:szCs w:val="22"/>
              </w:rPr>
            </w:pPr>
            <w:r>
              <w:rPr>
                <w:rFonts w:ascii="Arial" w:eastAsia="Arial" w:hAnsi="Arial" w:cs="Arial"/>
                <w:sz w:val="22"/>
                <w:szCs w:val="22"/>
              </w:rPr>
              <w:t>Can financial innovation bridge the adaptation financing gap, or is this a distraction from conventional financing instruments?</w:t>
            </w:r>
          </w:p>
          <w:p w14:paraId="16DE7ADA" w14:textId="77777777" w:rsidR="00FE2E86" w:rsidRDefault="00197F62">
            <w:pPr>
              <w:numPr>
                <w:ilvl w:val="0"/>
                <w:numId w:val="3"/>
              </w:numPr>
              <w:jc w:val="both"/>
              <w:rPr>
                <w:rFonts w:ascii="Arial" w:eastAsia="Arial" w:hAnsi="Arial" w:cs="Arial"/>
                <w:sz w:val="22"/>
                <w:szCs w:val="22"/>
              </w:rPr>
            </w:pPr>
            <w:r>
              <w:rPr>
                <w:rFonts w:ascii="Arial" w:eastAsia="Arial" w:hAnsi="Arial" w:cs="Arial"/>
                <w:sz w:val="22"/>
                <w:szCs w:val="22"/>
              </w:rPr>
              <w:t>What are the risks of diversifying the sources of funding and financing, as well as the opportunities?</w:t>
            </w:r>
          </w:p>
          <w:p w14:paraId="701BB876" w14:textId="77777777" w:rsidR="00FE2E86" w:rsidRDefault="00FE2E86">
            <w:pPr>
              <w:jc w:val="both"/>
              <w:rPr>
                <w:rFonts w:ascii="Arial" w:eastAsia="Arial" w:hAnsi="Arial" w:cs="Arial"/>
                <w:sz w:val="22"/>
                <w:szCs w:val="22"/>
              </w:rPr>
            </w:pPr>
          </w:p>
          <w:p w14:paraId="72807AB4" w14:textId="77777777" w:rsidR="00FE2E86" w:rsidRDefault="00197F62">
            <w:pPr>
              <w:jc w:val="both"/>
              <w:rPr>
                <w:rFonts w:ascii="Arial" w:eastAsia="Arial" w:hAnsi="Arial" w:cs="Arial"/>
                <w:sz w:val="22"/>
                <w:szCs w:val="22"/>
              </w:rPr>
            </w:pPr>
            <w:r>
              <w:rPr>
                <w:rFonts w:ascii="Arial" w:eastAsia="Arial" w:hAnsi="Arial" w:cs="Arial"/>
                <w:sz w:val="22"/>
                <w:szCs w:val="22"/>
              </w:rPr>
              <w:t>References</w:t>
            </w:r>
          </w:p>
          <w:p w14:paraId="45F0448D" w14:textId="77777777" w:rsidR="00FE2E86" w:rsidRDefault="00FE2E86">
            <w:pPr>
              <w:jc w:val="both"/>
              <w:rPr>
                <w:rFonts w:ascii="Arial" w:eastAsia="Arial" w:hAnsi="Arial" w:cs="Arial"/>
                <w:sz w:val="22"/>
                <w:szCs w:val="22"/>
              </w:rPr>
            </w:pPr>
          </w:p>
          <w:p w14:paraId="2D82A420" w14:textId="77777777" w:rsidR="00FE2E86" w:rsidRDefault="00197F62">
            <w:pPr>
              <w:jc w:val="both"/>
              <w:rPr>
                <w:rFonts w:ascii="Arial" w:eastAsia="Arial" w:hAnsi="Arial" w:cs="Arial"/>
                <w:sz w:val="22"/>
                <w:szCs w:val="22"/>
                <w:highlight w:val="white"/>
              </w:rPr>
            </w:pPr>
            <w:r>
              <w:rPr>
                <w:rFonts w:ascii="Arial" w:eastAsia="Arial" w:hAnsi="Arial" w:cs="Arial"/>
                <w:sz w:val="22"/>
                <w:szCs w:val="22"/>
                <w:highlight w:val="white"/>
              </w:rPr>
              <w:t xml:space="preserve">Bose, S. (2022). Adaptation finance: A review of financial instruments to facilitate climate resilience. In Brears, R. (ed.) </w:t>
            </w:r>
            <w:r>
              <w:rPr>
                <w:rFonts w:ascii="Arial" w:eastAsia="Arial" w:hAnsi="Arial" w:cs="Arial"/>
                <w:i/>
                <w:sz w:val="22"/>
                <w:szCs w:val="22"/>
                <w:highlight w:val="white"/>
              </w:rPr>
              <w:t>The Palgrave handbook of climate resilient societies</w:t>
            </w:r>
            <w:r>
              <w:rPr>
                <w:rFonts w:ascii="Arial" w:eastAsia="Arial" w:hAnsi="Arial" w:cs="Arial"/>
                <w:sz w:val="22"/>
                <w:szCs w:val="22"/>
                <w:highlight w:val="white"/>
              </w:rPr>
              <w:t>, 2191-2213.</w:t>
            </w:r>
          </w:p>
          <w:p w14:paraId="07DF1D5F" w14:textId="77777777" w:rsidR="00FE2E86" w:rsidRDefault="00FE2E86">
            <w:pPr>
              <w:jc w:val="both"/>
              <w:rPr>
                <w:rFonts w:ascii="Arial" w:eastAsia="Arial" w:hAnsi="Arial" w:cs="Arial"/>
                <w:sz w:val="22"/>
                <w:szCs w:val="22"/>
                <w:highlight w:val="white"/>
              </w:rPr>
            </w:pPr>
          </w:p>
          <w:p w14:paraId="15766C67" w14:textId="77777777" w:rsidR="00FE2E86" w:rsidRDefault="00197F62">
            <w:pPr>
              <w:jc w:val="both"/>
              <w:rPr>
                <w:rFonts w:ascii="Arial" w:eastAsia="Arial" w:hAnsi="Arial" w:cs="Arial"/>
                <w:sz w:val="22"/>
                <w:szCs w:val="22"/>
                <w:highlight w:val="white"/>
              </w:rPr>
            </w:pPr>
            <w:r>
              <w:rPr>
                <w:rFonts w:ascii="Arial" w:eastAsia="Arial" w:hAnsi="Arial" w:cs="Arial"/>
                <w:sz w:val="22"/>
                <w:szCs w:val="22"/>
              </w:rPr>
              <w:t xml:space="preserve">Climate Change Committee (2023). </w:t>
            </w:r>
            <w:r>
              <w:rPr>
                <w:rFonts w:ascii="Arial" w:eastAsia="Arial" w:hAnsi="Arial" w:cs="Arial"/>
                <w:i/>
                <w:sz w:val="22"/>
                <w:szCs w:val="22"/>
                <w:highlight w:val="white"/>
              </w:rPr>
              <w:t>Investment for a well-adapted UK</w:t>
            </w:r>
            <w:r>
              <w:rPr>
                <w:rFonts w:ascii="Arial" w:eastAsia="Arial" w:hAnsi="Arial" w:cs="Arial"/>
                <w:sz w:val="22"/>
                <w:szCs w:val="22"/>
                <w:highlight w:val="white"/>
              </w:rPr>
              <w:t>.</w:t>
            </w:r>
          </w:p>
          <w:p w14:paraId="7B29694E" w14:textId="77777777" w:rsidR="00FE2E86" w:rsidRDefault="00FE2E86">
            <w:pPr>
              <w:jc w:val="both"/>
              <w:rPr>
                <w:rFonts w:ascii="Arial" w:eastAsia="Arial" w:hAnsi="Arial" w:cs="Arial"/>
                <w:sz w:val="22"/>
                <w:szCs w:val="22"/>
                <w:highlight w:val="white"/>
              </w:rPr>
            </w:pPr>
          </w:p>
          <w:p w14:paraId="7EB9D6E2" w14:textId="77777777" w:rsidR="00FE2E86" w:rsidRDefault="00197F62">
            <w:pPr>
              <w:jc w:val="both"/>
              <w:rPr>
                <w:rFonts w:ascii="Arial" w:eastAsia="Arial" w:hAnsi="Arial" w:cs="Arial"/>
                <w:sz w:val="22"/>
                <w:szCs w:val="22"/>
                <w:highlight w:val="white"/>
              </w:rPr>
            </w:pPr>
            <w:r>
              <w:rPr>
                <w:rFonts w:ascii="Arial" w:eastAsia="Arial" w:hAnsi="Arial" w:cs="Arial"/>
                <w:sz w:val="22"/>
                <w:szCs w:val="22"/>
              </w:rPr>
              <w:lastRenderedPageBreak/>
              <w:t xml:space="preserve">Expert Working Group on Managed Retreat (2024). </w:t>
            </w:r>
            <w:r>
              <w:rPr>
                <w:rFonts w:ascii="Arial" w:eastAsia="Arial" w:hAnsi="Arial" w:cs="Arial"/>
                <w:i/>
                <w:sz w:val="22"/>
                <w:szCs w:val="22"/>
                <w:highlight w:val="white"/>
              </w:rPr>
              <w:t xml:space="preserve">Report of the Expert Working Group on Managed Retreat: A Proposed System for Te Hekenga </w:t>
            </w:r>
            <w:proofErr w:type="spellStart"/>
            <w:r>
              <w:rPr>
                <w:rFonts w:ascii="Arial" w:eastAsia="Arial" w:hAnsi="Arial" w:cs="Arial"/>
                <w:i/>
                <w:sz w:val="22"/>
                <w:szCs w:val="22"/>
                <w:highlight w:val="white"/>
              </w:rPr>
              <w:t>Rauora</w:t>
            </w:r>
            <w:proofErr w:type="spellEnd"/>
            <w:r>
              <w:rPr>
                <w:rFonts w:ascii="Arial" w:eastAsia="Arial" w:hAnsi="Arial" w:cs="Arial"/>
                <w:i/>
                <w:sz w:val="22"/>
                <w:szCs w:val="22"/>
                <w:highlight w:val="white"/>
              </w:rPr>
              <w:t>/Planned Relocation.</w:t>
            </w:r>
            <w:r>
              <w:rPr>
                <w:rFonts w:ascii="Arial" w:eastAsia="Arial" w:hAnsi="Arial" w:cs="Arial"/>
                <w:sz w:val="22"/>
                <w:szCs w:val="22"/>
                <w:highlight w:val="white"/>
              </w:rPr>
              <w:t xml:space="preserve"> New Zealand Government.</w:t>
            </w:r>
          </w:p>
          <w:p w14:paraId="3A759E8D" w14:textId="77777777" w:rsidR="00FE2E86" w:rsidRDefault="00FE2E86">
            <w:pPr>
              <w:jc w:val="both"/>
              <w:rPr>
                <w:rFonts w:ascii="Arial" w:eastAsia="Arial" w:hAnsi="Arial" w:cs="Arial"/>
                <w:sz w:val="22"/>
                <w:szCs w:val="22"/>
                <w:highlight w:val="white"/>
              </w:rPr>
            </w:pPr>
          </w:p>
          <w:p w14:paraId="4D506A34" w14:textId="77777777" w:rsidR="00FE2E86" w:rsidRDefault="00197F62">
            <w:pPr>
              <w:jc w:val="both"/>
              <w:rPr>
                <w:rFonts w:ascii="Arial" w:eastAsia="Arial" w:hAnsi="Arial" w:cs="Arial"/>
                <w:sz w:val="22"/>
                <w:szCs w:val="22"/>
                <w:highlight w:val="white"/>
              </w:rPr>
            </w:pPr>
            <w:r>
              <w:rPr>
                <w:rFonts w:ascii="Arial" w:eastAsia="Arial" w:hAnsi="Arial" w:cs="Arial"/>
                <w:sz w:val="22"/>
                <w:szCs w:val="22"/>
                <w:highlight w:val="white"/>
              </w:rPr>
              <w:t xml:space="preserve">Hall, D. (2022). </w:t>
            </w:r>
            <w:r>
              <w:rPr>
                <w:rFonts w:ascii="Arial" w:eastAsia="Arial" w:hAnsi="Arial" w:cs="Arial"/>
                <w:i/>
                <w:sz w:val="22"/>
                <w:szCs w:val="22"/>
                <w:highlight w:val="white"/>
              </w:rPr>
              <w:t>Adaptation finance: Risks and opportunities for Aotearoa New Zealand</w:t>
            </w:r>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Mōhio</w:t>
            </w:r>
            <w:proofErr w:type="spellEnd"/>
            <w:r>
              <w:rPr>
                <w:rFonts w:ascii="Arial" w:eastAsia="Arial" w:hAnsi="Arial" w:cs="Arial"/>
                <w:sz w:val="22"/>
                <w:szCs w:val="22"/>
                <w:highlight w:val="white"/>
              </w:rPr>
              <w:t xml:space="preserve"> Research and AUT. </w:t>
            </w:r>
          </w:p>
          <w:p w14:paraId="210724B5" w14:textId="77777777" w:rsidR="00FE2E86" w:rsidRDefault="00FE2E86">
            <w:pPr>
              <w:jc w:val="both"/>
              <w:rPr>
                <w:rFonts w:ascii="Arial" w:eastAsia="Arial" w:hAnsi="Arial" w:cs="Arial"/>
                <w:sz w:val="22"/>
                <w:szCs w:val="22"/>
              </w:rPr>
            </w:pPr>
          </w:p>
          <w:p w14:paraId="2A180919"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Mortimer, G., Whelan, B., &amp; Lee, C. (2020). </w:t>
            </w:r>
            <w:r>
              <w:rPr>
                <w:rFonts w:ascii="Arial" w:eastAsia="Arial" w:hAnsi="Arial" w:cs="Arial"/>
                <w:i/>
                <w:sz w:val="22"/>
                <w:szCs w:val="22"/>
              </w:rPr>
              <w:t>Adaptation Finance: Emerging approaches to solve the climate adaptation finance gap</w:t>
            </w:r>
            <w:r>
              <w:rPr>
                <w:rFonts w:ascii="Arial" w:eastAsia="Arial" w:hAnsi="Arial" w:cs="Arial"/>
                <w:sz w:val="22"/>
                <w:szCs w:val="22"/>
              </w:rPr>
              <w:t xml:space="preserve">. Climate-KIC Australia. </w:t>
            </w:r>
          </w:p>
          <w:p w14:paraId="7721D9A6" w14:textId="77777777" w:rsidR="00FE2E86" w:rsidRDefault="00FE2E86">
            <w:pPr>
              <w:jc w:val="both"/>
              <w:rPr>
                <w:rFonts w:ascii="Arial" w:eastAsia="Arial" w:hAnsi="Arial" w:cs="Arial"/>
                <w:sz w:val="22"/>
                <w:szCs w:val="22"/>
              </w:rPr>
            </w:pPr>
          </w:p>
          <w:p w14:paraId="68A79FC7"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OECD (2025). </w:t>
            </w:r>
            <w:r>
              <w:rPr>
                <w:rFonts w:ascii="Arial" w:eastAsia="Arial" w:hAnsi="Arial" w:cs="Arial"/>
                <w:i/>
                <w:sz w:val="22"/>
                <w:szCs w:val="22"/>
              </w:rPr>
              <w:t>Scaling up finance and investment for climate change adaptation</w:t>
            </w:r>
            <w:r>
              <w:rPr>
                <w:rFonts w:ascii="Arial" w:eastAsia="Arial" w:hAnsi="Arial" w:cs="Arial"/>
                <w:sz w:val="22"/>
                <w:szCs w:val="22"/>
              </w:rPr>
              <w:t>. OECD Net Zero+ Policy Papers No.7.</w:t>
            </w:r>
          </w:p>
          <w:p w14:paraId="01A9737B" w14:textId="77777777" w:rsidR="00FE2E86" w:rsidRDefault="00FE2E86">
            <w:pPr>
              <w:jc w:val="both"/>
              <w:rPr>
                <w:rFonts w:ascii="Arial" w:eastAsia="Arial" w:hAnsi="Arial" w:cs="Arial"/>
                <w:b/>
                <w:sz w:val="22"/>
                <w:szCs w:val="22"/>
              </w:rPr>
            </w:pPr>
          </w:p>
          <w:p w14:paraId="5CBFF585"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Pelling, M., &amp; Manuel-Navarrete, D. (2011). From resilience to transformation: the adaptive cycle in two Mexican urban centers. </w:t>
            </w:r>
            <w:r>
              <w:rPr>
                <w:rFonts w:ascii="Arial" w:eastAsia="Arial" w:hAnsi="Arial" w:cs="Arial"/>
                <w:i/>
                <w:sz w:val="22"/>
                <w:szCs w:val="22"/>
              </w:rPr>
              <w:t>Ecology and society</w:t>
            </w:r>
            <w:r>
              <w:rPr>
                <w:rFonts w:ascii="Arial" w:eastAsia="Arial" w:hAnsi="Arial" w:cs="Arial"/>
                <w:sz w:val="22"/>
                <w:szCs w:val="22"/>
              </w:rPr>
              <w:t>, 16(2).</w:t>
            </w:r>
          </w:p>
          <w:p w14:paraId="4B3AE63A" w14:textId="77777777" w:rsidR="00FE2E86" w:rsidRDefault="00FE2E86">
            <w:pPr>
              <w:jc w:val="both"/>
              <w:rPr>
                <w:rFonts w:ascii="Arial" w:eastAsia="Arial" w:hAnsi="Arial" w:cs="Arial"/>
                <w:sz w:val="22"/>
                <w:szCs w:val="22"/>
              </w:rPr>
            </w:pPr>
          </w:p>
          <w:p w14:paraId="2D9F2E7D"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Ranger N., Weidinger M., </w:t>
            </w:r>
            <w:proofErr w:type="spellStart"/>
            <w:r>
              <w:rPr>
                <w:rFonts w:ascii="Arial" w:eastAsia="Arial" w:hAnsi="Arial" w:cs="Arial"/>
                <w:sz w:val="22"/>
                <w:szCs w:val="22"/>
              </w:rPr>
              <w:t>Bernhofen</w:t>
            </w:r>
            <w:proofErr w:type="spellEnd"/>
            <w:r>
              <w:rPr>
                <w:rFonts w:ascii="Arial" w:eastAsia="Arial" w:hAnsi="Arial" w:cs="Arial"/>
                <w:sz w:val="22"/>
                <w:szCs w:val="22"/>
              </w:rPr>
              <w:t xml:space="preserve"> M., Burke M., Lambin R., </w:t>
            </w:r>
            <w:proofErr w:type="spellStart"/>
            <w:r>
              <w:rPr>
                <w:rFonts w:ascii="Arial" w:eastAsia="Arial" w:hAnsi="Arial" w:cs="Arial"/>
                <w:sz w:val="22"/>
                <w:szCs w:val="22"/>
              </w:rPr>
              <w:t>Puranasamriddhi</w:t>
            </w:r>
            <w:proofErr w:type="spellEnd"/>
            <w:r>
              <w:rPr>
                <w:rFonts w:ascii="Arial" w:eastAsia="Arial" w:hAnsi="Arial" w:cs="Arial"/>
                <w:sz w:val="22"/>
                <w:szCs w:val="22"/>
              </w:rPr>
              <w:t xml:space="preserve"> A., </w:t>
            </w:r>
            <w:proofErr w:type="spellStart"/>
            <w:r>
              <w:rPr>
                <w:rFonts w:ascii="Arial" w:eastAsia="Arial" w:hAnsi="Arial" w:cs="Arial"/>
                <w:sz w:val="22"/>
                <w:szCs w:val="22"/>
              </w:rPr>
              <w:t>Sabuco</w:t>
            </w:r>
            <w:proofErr w:type="spellEnd"/>
            <w:r>
              <w:rPr>
                <w:rFonts w:ascii="Arial" w:eastAsia="Arial" w:hAnsi="Arial" w:cs="Arial"/>
                <w:sz w:val="22"/>
                <w:szCs w:val="22"/>
              </w:rPr>
              <w:t xml:space="preserve"> J., &amp; Spacey Martín, R. (2025).</w:t>
            </w:r>
            <w:r>
              <w:rPr>
                <w:rFonts w:ascii="Arial" w:eastAsia="Arial" w:hAnsi="Arial" w:cs="Arial"/>
                <w:i/>
                <w:sz w:val="22"/>
                <w:szCs w:val="22"/>
              </w:rPr>
              <w:t xml:space="preserve"> Enabling Adaptation: Sustainable Fiscal Policies for Climate Resilient Development and Infrastructure</w:t>
            </w:r>
            <w:r>
              <w:rPr>
                <w:rFonts w:ascii="Arial" w:eastAsia="Arial" w:hAnsi="Arial" w:cs="Arial"/>
                <w:sz w:val="22"/>
                <w:szCs w:val="22"/>
              </w:rPr>
              <w:t>. Environmental Change Institute, University of Oxford and Green Fiscal Policy Network.</w:t>
            </w:r>
          </w:p>
          <w:p w14:paraId="4EC74F12" w14:textId="77777777" w:rsidR="00FE2E86" w:rsidRDefault="00FE2E86">
            <w:pPr>
              <w:jc w:val="both"/>
              <w:rPr>
                <w:rFonts w:ascii="Arial" w:eastAsia="Arial" w:hAnsi="Arial" w:cs="Arial"/>
                <w:sz w:val="22"/>
                <w:szCs w:val="22"/>
              </w:rPr>
            </w:pPr>
          </w:p>
          <w:p w14:paraId="4F314153"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UNEP (2024). </w:t>
            </w:r>
            <w:r>
              <w:rPr>
                <w:rFonts w:ascii="Arial" w:eastAsia="Arial" w:hAnsi="Arial" w:cs="Arial"/>
                <w:i/>
                <w:sz w:val="22"/>
                <w:szCs w:val="22"/>
              </w:rPr>
              <w:t>The Adaptation Gap Report 2024: Come hell and high water</w:t>
            </w:r>
            <w:r>
              <w:rPr>
                <w:rFonts w:ascii="Arial" w:eastAsia="Arial" w:hAnsi="Arial" w:cs="Arial"/>
                <w:sz w:val="22"/>
                <w:szCs w:val="22"/>
              </w:rPr>
              <w:t>. United Nations Environment Programme (UNEP).</w:t>
            </w:r>
          </w:p>
          <w:p w14:paraId="2FA3FA8D" w14:textId="77777777" w:rsidR="00FE2E86" w:rsidRDefault="00FE2E86">
            <w:pPr>
              <w:jc w:val="both"/>
              <w:rPr>
                <w:rFonts w:ascii="Arial" w:eastAsia="Arial" w:hAnsi="Arial" w:cs="Arial"/>
                <w:b/>
                <w:sz w:val="22"/>
                <w:szCs w:val="22"/>
              </w:rPr>
            </w:pPr>
          </w:p>
        </w:tc>
      </w:tr>
      <w:tr w:rsidR="00FE2E86" w14:paraId="2FE4B2C0" w14:textId="77777777">
        <w:trPr>
          <w:trHeight w:val="576"/>
        </w:trPr>
        <w:tc>
          <w:tcPr>
            <w:tcW w:w="8640" w:type="dxa"/>
          </w:tcPr>
          <w:p w14:paraId="7A5A65C3" w14:textId="77777777" w:rsidR="00FE2E86" w:rsidRDefault="00197F62">
            <w:pPr>
              <w:jc w:val="both"/>
              <w:rPr>
                <w:rFonts w:ascii="Arial" w:eastAsia="Arial" w:hAnsi="Arial" w:cs="Arial"/>
                <w:b/>
                <w:sz w:val="22"/>
                <w:szCs w:val="22"/>
              </w:rPr>
            </w:pPr>
            <w:r>
              <w:rPr>
                <w:rFonts w:ascii="Arial" w:eastAsia="Arial" w:hAnsi="Arial" w:cs="Arial"/>
                <w:b/>
                <w:sz w:val="22"/>
                <w:szCs w:val="22"/>
              </w:rPr>
              <w:lastRenderedPageBreak/>
              <w:t>INDIVIDUAL PANELLIST CONTRIBUTION</w:t>
            </w:r>
          </w:p>
          <w:p w14:paraId="78FEF37B" w14:textId="77777777" w:rsidR="00FE2E86" w:rsidRDefault="00FE2E86">
            <w:pPr>
              <w:jc w:val="both"/>
              <w:rPr>
                <w:rFonts w:ascii="Arial" w:eastAsia="Arial" w:hAnsi="Arial" w:cs="Arial"/>
                <w:b/>
                <w:sz w:val="22"/>
                <w:szCs w:val="22"/>
                <w:u w:val="single"/>
              </w:rPr>
            </w:pPr>
          </w:p>
          <w:p w14:paraId="67CFA972" w14:textId="77777777" w:rsidR="00FE2E86" w:rsidRDefault="00197F62">
            <w:pPr>
              <w:jc w:val="both"/>
              <w:rPr>
                <w:rFonts w:ascii="Arial" w:eastAsia="Arial" w:hAnsi="Arial" w:cs="Arial"/>
                <w:b/>
                <w:sz w:val="22"/>
                <w:szCs w:val="22"/>
                <w:u w:val="single"/>
              </w:rPr>
            </w:pPr>
            <w:r>
              <w:rPr>
                <w:rFonts w:ascii="Arial" w:eastAsia="Arial" w:hAnsi="Arial" w:cs="Arial"/>
                <w:b/>
                <w:sz w:val="22"/>
                <w:szCs w:val="22"/>
                <w:u w:val="single"/>
              </w:rPr>
              <w:t>Moderator Details</w:t>
            </w:r>
          </w:p>
          <w:p w14:paraId="24A46CAF" w14:textId="77777777" w:rsidR="00FE2E86" w:rsidRDefault="00197F62">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Philip Wiles</w:t>
            </w:r>
          </w:p>
          <w:p w14:paraId="52EA2920" w14:textId="77777777" w:rsidR="00FE2E86" w:rsidRDefault="00197F62">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Kiwibank</w:t>
            </w:r>
          </w:p>
          <w:p w14:paraId="7C388943" w14:textId="70A06B58" w:rsidR="00FE2E86" w:rsidRDefault="00197F62">
            <w:pPr>
              <w:jc w:val="both"/>
              <w:rPr>
                <w:rFonts w:ascii="Arial" w:eastAsia="Arial" w:hAnsi="Arial" w:cs="Arial"/>
                <w:b/>
                <w:sz w:val="22"/>
                <w:szCs w:val="22"/>
              </w:rPr>
            </w:pPr>
            <w:r>
              <w:rPr>
                <w:rFonts w:ascii="Arial" w:eastAsia="Arial" w:hAnsi="Arial" w:cs="Arial"/>
                <w:b/>
                <w:sz w:val="22"/>
                <w:szCs w:val="22"/>
              </w:rPr>
              <w:t>Bio sketch</w:t>
            </w:r>
            <w:r w:rsidR="00504A83">
              <w:rPr>
                <w:rFonts w:ascii="Arial" w:eastAsia="Arial" w:hAnsi="Arial" w:cs="Arial"/>
                <w:b/>
                <w:sz w:val="22"/>
                <w:szCs w:val="22"/>
              </w:rPr>
              <w:t>:</w:t>
            </w:r>
          </w:p>
          <w:p w14:paraId="1FF6CAF9" w14:textId="77777777" w:rsidR="00FE2E86" w:rsidRDefault="00197F62">
            <w:pPr>
              <w:jc w:val="both"/>
              <w:rPr>
                <w:rFonts w:ascii="Arial" w:eastAsia="Arial" w:hAnsi="Arial" w:cs="Arial"/>
                <w:sz w:val="22"/>
                <w:szCs w:val="22"/>
              </w:rPr>
            </w:pPr>
            <w:r>
              <w:rPr>
                <w:rFonts w:ascii="Arial" w:eastAsia="Arial" w:hAnsi="Arial" w:cs="Arial"/>
                <w:sz w:val="22"/>
                <w:szCs w:val="22"/>
              </w:rPr>
              <w:t>Philip Wiles is the Senior Manager Climate Advisory at Kiwibank.  Phil has worked across climate research, policy and implementation as the Director of Aotearoa’s Adaptation Science Challenge, in the Climate Change Commission, and in central Government.</w:t>
            </w:r>
          </w:p>
          <w:p w14:paraId="59D5810E" w14:textId="77777777" w:rsidR="00FE2E86" w:rsidRDefault="00FE2E86">
            <w:pPr>
              <w:jc w:val="both"/>
              <w:rPr>
                <w:rFonts w:ascii="Arial" w:eastAsia="Arial" w:hAnsi="Arial" w:cs="Arial"/>
                <w:b/>
                <w:sz w:val="22"/>
                <w:szCs w:val="22"/>
              </w:rPr>
            </w:pPr>
          </w:p>
          <w:p w14:paraId="1285C4F3" w14:textId="77777777" w:rsidR="00FE2E86" w:rsidRDefault="00197F62">
            <w:pPr>
              <w:jc w:val="both"/>
              <w:rPr>
                <w:rFonts w:ascii="Arial" w:eastAsia="Arial" w:hAnsi="Arial" w:cs="Arial"/>
                <w:b/>
                <w:sz w:val="22"/>
                <w:szCs w:val="22"/>
                <w:u w:val="single"/>
              </w:rPr>
            </w:pPr>
            <w:r>
              <w:rPr>
                <w:rFonts w:ascii="Arial" w:eastAsia="Arial" w:hAnsi="Arial" w:cs="Arial"/>
                <w:b/>
                <w:sz w:val="22"/>
                <w:szCs w:val="22"/>
                <w:u w:val="single"/>
              </w:rPr>
              <w:t>Panellist 1</w:t>
            </w:r>
          </w:p>
          <w:p w14:paraId="30E15ABF" w14:textId="77777777" w:rsidR="00FE2E86" w:rsidRDefault="00197F62">
            <w:pPr>
              <w:jc w:val="both"/>
              <w:rPr>
                <w:rFonts w:ascii="Arial" w:eastAsia="Arial" w:hAnsi="Arial" w:cs="Arial"/>
                <w:sz w:val="22"/>
                <w:szCs w:val="22"/>
              </w:rPr>
            </w:pPr>
            <w:r>
              <w:rPr>
                <w:rFonts w:ascii="Arial" w:eastAsia="Arial" w:hAnsi="Arial" w:cs="Arial"/>
                <w:b/>
                <w:sz w:val="22"/>
                <w:szCs w:val="22"/>
              </w:rPr>
              <w:t xml:space="preserve">Full Name: </w:t>
            </w:r>
            <w:r>
              <w:rPr>
                <w:rFonts w:ascii="Arial" w:eastAsia="Arial" w:hAnsi="Arial" w:cs="Arial"/>
                <w:sz w:val="22"/>
                <w:szCs w:val="22"/>
              </w:rPr>
              <w:t>Dr David Hall</w:t>
            </w:r>
          </w:p>
          <w:p w14:paraId="50631B44" w14:textId="77777777" w:rsidR="00FE2E86" w:rsidRDefault="00197F62">
            <w:pPr>
              <w:jc w:val="both"/>
              <w:rPr>
                <w:rFonts w:ascii="Arial" w:eastAsia="Arial" w:hAnsi="Arial" w:cs="Arial"/>
                <w:sz w:val="22"/>
                <w:szCs w:val="22"/>
              </w:rPr>
            </w:pPr>
            <w:r>
              <w:rPr>
                <w:rFonts w:ascii="Arial" w:eastAsia="Arial" w:hAnsi="Arial" w:cs="Arial"/>
                <w:b/>
                <w:sz w:val="22"/>
                <w:szCs w:val="22"/>
              </w:rPr>
              <w:t xml:space="preserve">Organisation: </w:t>
            </w:r>
            <w:r>
              <w:rPr>
                <w:rFonts w:ascii="Arial" w:eastAsia="Arial" w:hAnsi="Arial" w:cs="Arial"/>
                <w:sz w:val="22"/>
                <w:szCs w:val="22"/>
              </w:rPr>
              <w:t>Toha Network Limited / Auckland University of Technology (AUT)</w:t>
            </w:r>
          </w:p>
          <w:p w14:paraId="0519DD4B" w14:textId="2D8AA904" w:rsidR="00FE2E86" w:rsidRDefault="00197F62">
            <w:pPr>
              <w:jc w:val="both"/>
              <w:rPr>
                <w:rFonts w:ascii="Arial" w:eastAsia="Arial" w:hAnsi="Arial" w:cs="Arial"/>
                <w:b/>
                <w:sz w:val="22"/>
                <w:szCs w:val="22"/>
              </w:rPr>
            </w:pPr>
            <w:r>
              <w:rPr>
                <w:rFonts w:ascii="Arial" w:eastAsia="Arial" w:hAnsi="Arial" w:cs="Arial"/>
                <w:b/>
                <w:sz w:val="22"/>
                <w:szCs w:val="22"/>
              </w:rPr>
              <w:t>Bio</w:t>
            </w:r>
            <w:r w:rsidR="00936CDB">
              <w:rPr>
                <w:rFonts w:ascii="Arial" w:eastAsia="Arial" w:hAnsi="Arial" w:cs="Arial"/>
                <w:b/>
                <w:sz w:val="22"/>
                <w:szCs w:val="22"/>
              </w:rPr>
              <w:t>:</w:t>
            </w:r>
          </w:p>
          <w:p w14:paraId="4C4B34B4" w14:textId="77777777" w:rsidR="00FE2E86" w:rsidRDefault="00FE2E86">
            <w:pPr>
              <w:jc w:val="both"/>
              <w:rPr>
                <w:rFonts w:ascii="Arial" w:eastAsia="Arial" w:hAnsi="Arial" w:cs="Arial"/>
                <w:b/>
                <w:sz w:val="22"/>
                <w:szCs w:val="22"/>
              </w:rPr>
            </w:pPr>
          </w:p>
          <w:p w14:paraId="7C31A88A" w14:textId="77777777" w:rsidR="00FE2E86" w:rsidRDefault="00197F62">
            <w:pPr>
              <w:jc w:val="both"/>
              <w:rPr>
                <w:rFonts w:ascii="Arial" w:eastAsia="Arial" w:hAnsi="Arial" w:cs="Arial"/>
                <w:b/>
                <w:sz w:val="22"/>
                <w:szCs w:val="22"/>
              </w:rPr>
            </w:pPr>
            <w:r>
              <w:rPr>
                <w:rFonts w:ascii="Arial" w:eastAsia="Arial" w:hAnsi="Arial" w:cs="Arial"/>
                <w:sz w:val="22"/>
                <w:szCs w:val="22"/>
              </w:rPr>
              <w:t>David Hall (</w:t>
            </w:r>
            <w:proofErr w:type="spellStart"/>
            <w:r>
              <w:rPr>
                <w:rFonts w:ascii="Arial" w:eastAsia="Arial" w:hAnsi="Arial" w:cs="Arial"/>
                <w:sz w:val="22"/>
                <w:szCs w:val="22"/>
              </w:rPr>
              <w:t>tangata</w:t>
            </w:r>
            <w:proofErr w:type="spellEnd"/>
            <w:r>
              <w:rPr>
                <w:rFonts w:ascii="Arial" w:eastAsia="Arial" w:hAnsi="Arial" w:cs="Arial"/>
                <w:sz w:val="22"/>
                <w:szCs w:val="22"/>
              </w:rPr>
              <w:t xml:space="preserve"> </w:t>
            </w:r>
            <w:proofErr w:type="spellStart"/>
            <w:r>
              <w:rPr>
                <w:rFonts w:ascii="Arial" w:eastAsia="Arial" w:hAnsi="Arial" w:cs="Arial"/>
                <w:sz w:val="22"/>
                <w:szCs w:val="22"/>
              </w:rPr>
              <w:t>tiriti</w:t>
            </w:r>
            <w:proofErr w:type="spellEnd"/>
            <w:r>
              <w:rPr>
                <w:rFonts w:ascii="Arial" w:eastAsia="Arial" w:hAnsi="Arial" w:cs="Arial"/>
                <w:sz w:val="22"/>
                <w:szCs w:val="22"/>
              </w:rPr>
              <w:t>) is Executive Director of Toha</w:t>
            </w:r>
            <w:r>
              <w:rPr>
                <w:rFonts w:ascii="Arial" w:eastAsia="Arial" w:hAnsi="Arial" w:cs="Arial"/>
                <w:sz w:val="22"/>
                <w:szCs w:val="22"/>
              </w:rPr>
              <w:t xml:space="preserve"> Network Limited and Member of the Aotearoa New Zealand Sustainable Finance Technical Expert Group. He served as Independent Specialist Advisor to the Finance and Expenditure Committee’s Inquiry into Climate Adaptation; Contributing Author to IPCC AR6 WG2; and teaches climate action at AUT.</w:t>
            </w:r>
          </w:p>
          <w:p w14:paraId="181BBD75" w14:textId="77777777" w:rsidR="00FE2E86" w:rsidRDefault="00FE2E86">
            <w:pPr>
              <w:jc w:val="both"/>
              <w:rPr>
                <w:rFonts w:ascii="Arial" w:eastAsia="Arial" w:hAnsi="Arial" w:cs="Arial"/>
                <w:b/>
                <w:sz w:val="22"/>
                <w:szCs w:val="22"/>
              </w:rPr>
            </w:pPr>
          </w:p>
          <w:p w14:paraId="7B3FE6A0" w14:textId="5412A612" w:rsidR="00FE2E86" w:rsidRDefault="00197F62">
            <w:pPr>
              <w:jc w:val="both"/>
              <w:rPr>
                <w:rFonts w:ascii="Arial" w:eastAsia="Arial" w:hAnsi="Arial" w:cs="Arial"/>
                <w:b/>
                <w:sz w:val="22"/>
                <w:szCs w:val="22"/>
              </w:rPr>
            </w:pPr>
            <w:r>
              <w:rPr>
                <w:rFonts w:ascii="Arial" w:eastAsia="Arial" w:hAnsi="Arial" w:cs="Arial"/>
                <w:b/>
                <w:sz w:val="22"/>
                <w:szCs w:val="22"/>
              </w:rPr>
              <w:t>Presentation 1</w:t>
            </w:r>
          </w:p>
          <w:p w14:paraId="7F5EBE8A" w14:textId="77777777" w:rsidR="00FE2E86" w:rsidRDefault="00FE2E86">
            <w:pPr>
              <w:jc w:val="both"/>
              <w:rPr>
                <w:rFonts w:ascii="Arial" w:eastAsia="Arial" w:hAnsi="Arial" w:cs="Arial"/>
                <w:sz w:val="22"/>
                <w:szCs w:val="22"/>
              </w:rPr>
            </w:pPr>
          </w:p>
          <w:p w14:paraId="70C0B0F6"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Where next for adaptation finance in Aotearoa New </w:t>
            </w:r>
            <w:proofErr w:type="gramStart"/>
            <w:r>
              <w:rPr>
                <w:rFonts w:ascii="Arial" w:eastAsia="Arial" w:hAnsi="Arial" w:cs="Arial"/>
                <w:sz w:val="22"/>
                <w:szCs w:val="22"/>
              </w:rPr>
              <w:t>Zealand?:</w:t>
            </w:r>
            <w:proofErr w:type="gramEnd"/>
            <w:r>
              <w:rPr>
                <w:rFonts w:ascii="Arial" w:eastAsia="Arial" w:hAnsi="Arial" w:cs="Arial"/>
                <w:sz w:val="22"/>
                <w:szCs w:val="22"/>
              </w:rPr>
              <w:t xml:space="preserve"> Future directions in allocating duties, financial innovation, and doing ‘boring’ investment better.  </w:t>
            </w:r>
          </w:p>
          <w:p w14:paraId="2B51BEBC" w14:textId="77777777" w:rsidR="00FE2E86" w:rsidRDefault="00FE2E86">
            <w:pPr>
              <w:jc w:val="both"/>
              <w:rPr>
                <w:rFonts w:ascii="Arial" w:eastAsia="Arial" w:hAnsi="Arial" w:cs="Arial"/>
                <w:b/>
                <w:sz w:val="22"/>
                <w:szCs w:val="22"/>
              </w:rPr>
            </w:pPr>
          </w:p>
          <w:p w14:paraId="7A0F0564" w14:textId="25126E08" w:rsidR="00FE2E86" w:rsidRDefault="00197F62">
            <w:pPr>
              <w:jc w:val="both"/>
              <w:rPr>
                <w:rFonts w:ascii="Arial" w:eastAsia="Arial" w:hAnsi="Arial" w:cs="Arial"/>
                <w:sz w:val="22"/>
                <w:szCs w:val="22"/>
              </w:rPr>
            </w:pPr>
            <w:r>
              <w:rPr>
                <w:rFonts w:ascii="Arial" w:eastAsia="Arial" w:hAnsi="Arial" w:cs="Arial"/>
                <w:b/>
                <w:sz w:val="22"/>
                <w:szCs w:val="22"/>
              </w:rPr>
              <w:lastRenderedPageBreak/>
              <w:t>Panellist 1 Contribution:</w:t>
            </w:r>
            <w:r>
              <w:rPr>
                <w:rFonts w:ascii="Arial" w:eastAsia="Arial" w:hAnsi="Arial" w:cs="Arial"/>
                <w:sz w:val="22"/>
                <w:szCs w:val="22"/>
              </w:rPr>
              <w:t xml:space="preserve"> </w:t>
            </w:r>
          </w:p>
          <w:p w14:paraId="2D4EB807" w14:textId="77777777" w:rsidR="00FE2E86" w:rsidRDefault="00197F62">
            <w:pPr>
              <w:jc w:val="both"/>
              <w:rPr>
                <w:rFonts w:ascii="Arial" w:eastAsia="Arial" w:hAnsi="Arial" w:cs="Arial"/>
                <w:b/>
                <w:sz w:val="22"/>
                <w:szCs w:val="22"/>
              </w:rPr>
            </w:pPr>
            <w:r>
              <w:rPr>
                <w:rFonts w:ascii="Arial" w:eastAsia="Arial" w:hAnsi="Arial" w:cs="Arial"/>
                <w:b/>
                <w:sz w:val="22"/>
                <w:szCs w:val="22"/>
              </w:rPr>
              <w:t>Introduction</w:t>
            </w:r>
          </w:p>
          <w:p w14:paraId="3FF6B132" w14:textId="77777777" w:rsidR="00FE2E86" w:rsidRDefault="00FE2E86">
            <w:pPr>
              <w:jc w:val="both"/>
              <w:rPr>
                <w:rFonts w:ascii="Arial" w:eastAsia="Arial" w:hAnsi="Arial" w:cs="Arial"/>
                <w:b/>
                <w:sz w:val="22"/>
                <w:szCs w:val="22"/>
              </w:rPr>
            </w:pPr>
          </w:p>
          <w:p w14:paraId="75F89E08" w14:textId="77777777" w:rsidR="00FE2E86" w:rsidRDefault="00197F62">
            <w:pPr>
              <w:jc w:val="both"/>
              <w:rPr>
                <w:rFonts w:ascii="Arial" w:eastAsia="Arial" w:hAnsi="Arial" w:cs="Arial"/>
                <w:sz w:val="22"/>
                <w:szCs w:val="22"/>
              </w:rPr>
            </w:pPr>
            <w:r>
              <w:rPr>
                <w:rFonts w:ascii="Arial" w:eastAsia="Arial" w:hAnsi="Arial" w:cs="Arial"/>
                <w:sz w:val="22"/>
                <w:szCs w:val="22"/>
              </w:rPr>
              <w:t>This paper will reflect upon, and extend beyond, the panellist’s experiences as the Independent Specialist Advisor to the Finance and Expenditure Committee’s Inquiry into Climate Adaptation. It will propose ways forward for funding and financing that are sensitive to the distinctive characteristics of climate adaptation; in particular, the public good aspects of many adaptation challenges, the prevailing logic of avoided losses rather than financial returns, and the need for transformative adaptation that i</w:t>
            </w:r>
            <w:r>
              <w:rPr>
                <w:rFonts w:ascii="Arial" w:eastAsia="Arial" w:hAnsi="Arial" w:cs="Arial"/>
                <w:sz w:val="22"/>
                <w:szCs w:val="22"/>
              </w:rPr>
              <w:t xml:space="preserve">nvolves radical changes to business-as-usual. </w:t>
            </w:r>
          </w:p>
          <w:p w14:paraId="5DD39510" w14:textId="77777777" w:rsidR="00FE2E86" w:rsidRDefault="00FE2E86">
            <w:pPr>
              <w:jc w:val="both"/>
              <w:rPr>
                <w:rFonts w:ascii="Arial" w:eastAsia="Arial" w:hAnsi="Arial" w:cs="Arial"/>
                <w:b/>
                <w:sz w:val="22"/>
                <w:szCs w:val="22"/>
              </w:rPr>
            </w:pPr>
          </w:p>
          <w:p w14:paraId="190A5FE8" w14:textId="77777777" w:rsidR="00FE2E86" w:rsidRDefault="00197F62">
            <w:pPr>
              <w:jc w:val="both"/>
              <w:rPr>
                <w:rFonts w:ascii="Arial" w:eastAsia="Arial" w:hAnsi="Arial" w:cs="Arial"/>
                <w:b/>
                <w:sz w:val="22"/>
                <w:szCs w:val="22"/>
              </w:rPr>
            </w:pPr>
            <w:r>
              <w:rPr>
                <w:rFonts w:ascii="Arial" w:eastAsia="Arial" w:hAnsi="Arial" w:cs="Arial"/>
                <w:b/>
                <w:sz w:val="22"/>
                <w:szCs w:val="22"/>
              </w:rPr>
              <w:t>Objectives</w:t>
            </w:r>
          </w:p>
          <w:p w14:paraId="3E0DF9A2" w14:textId="77777777" w:rsidR="00FE2E86" w:rsidRDefault="00FE2E86">
            <w:pPr>
              <w:jc w:val="both"/>
              <w:rPr>
                <w:rFonts w:ascii="Arial" w:eastAsia="Arial" w:hAnsi="Arial" w:cs="Arial"/>
                <w:b/>
                <w:sz w:val="22"/>
                <w:szCs w:val="22"/>
              </w:rPr>
            </w:pPr>
          </w:p>
          <w:p w14:paraId="392E9817" w14:textId="77777777" w:rsidR="00FE2E86" w:rsidRDefault="00197F62">
            <w:pPr>
              <w:jc w:val="both"/>
              <w:rPr>
                <w:rFonts w:ascii="Arial" w:eastAsia="Arial" w:hAnsi="Arial" w:cs="Arial"/>
                <w:sz w:val="22"/>
                <w:szCs w:val="22"/>
              </w:rPr>
            </w:pPr>
            <w:r>
              <w:rPr>
                <w:rFonts w:ascii="Arial" w:eastAsia="Arial" w:hAnsi="Arial" w:cs="Arial"/>
                <w:sz w:val="22"/>
                <w:szCs w:val="22"/>
              </w:rPr>
              <w:t>To generate policy-relevant insights and recommendations on adaptation funding and finance for the adaptation framework being currently developed by the New Zealand Government.</w:t>
            </w:r>
          </w:p>
          <w:p w14:paraId="4B8D74D5" w14:textId="77777777" w:rsidR="00FE2E86" w:rsidRDefault="00FE2E86">
            <w:pPr>
              <w:jc w:val="both"/>
              <w:rPr>
                <w:rFonts w:ascii="Arial" w:eastAsia="Arial" w:hAnsi="Arial" w:cs="Arial"/>
                <w:b/>
                <w:sz w:val="22"/>
                <w:szCs w:val="22"/>
              </w:rPr>
            </w:pPr>
          </w:p>
          <w:p w14:paraId="0CC7FE5A" w14:textId="77777777" w:rsidR="00FE2E86" w:rsidRDefault="00197F62">
            <w:pPr>
              <w:jc w:val="both"/>
              <w:rPr>
                <w:rFonts w:ascii="Arial" w:eastAsia="Arial" w:hAnsi="Arial" w:cs="Arial"/>
                <w:b/>
                <w:sz w:val="22"/>
                <w:szCs w:val="22"/>
              </w:rPr>
            </w:pPr>
            <w:r>
              <w:rPr>
                <w:rFonts w:ascii="Arial" w:eastAsia="Arial" w:hAnsi="Arial" w:cs="Arial"/>
                <w:b/>
                <w:sz w:val="22"/>
                <w:szCs w:val="22"/>
              </w:rPr>
              <w:t>Methodology</w:t>
            </w:r>
          </w:p>
          <w:p w14:paraId="6F75768B" w14:textId="77777777" w:rsidR="00FE2E86" w:rsidRDefault="00FE2E86">
            <w:pPr>
              <w:jc w:val="both"/>
              <w:rPr>
                <w:rFonts w:ascii="Arial" w:eastAsia="Arial" w:hAnsi="Arial" w:cs="Arial"/>
                <w:b/>
                <w:sz w:val="22"/>
                <w:szCs w:val="22"/>
              </w:rPr>
            </w:pPr>
          </w:p>
          <w:p w14:paraId="0851A703" w14:textId="77777777" w:rsidR="00FE2E86" w:rsidRDefault="00197F62">
            <w:pPr>
              <w:jc w:val="both"/>
              <w:rPr>
                <w:rFonts w:ascii="Arial" w:eastAsia="Arial" w:hAnsi="Arial" w:cs="Arial"/>
                <w:sz w:val="22"/>
                <w:szCs w:val="22"/>
              </w:rPr>
            </w:pPr>
            <w:r>
              <w:rPr>
                <w:rFonts w:ascii="Arial" w:eastAsia="Arial" w:hAnsi="Arial" w:cs="Arial"/>
                <w:sz w:val="22"/>
                <w:szCs w:val="22"/>
              </w:rPr>
              <w:t>This paper will offer critical reflections that draw on existing policy advice, theory and practice in sustainable finance, fiscal and monetary policy, and innovation.</w:t>
            </w:r>
          </w:p>
          <w:p w14:paraId="3F80E2F3" w14:textId="77777777" w:rsidR="00FE2E86" w:rsidRDefault="00FE2E86">
            <w:pPr>
              <w:jc w:val="both"/>
              <w:rPr>
                <w:rFonts w:ascii="Arial" w:eastAsia="Arial" w:hAnsi="Arial" w:cs="Arial"/>
                <w:b/>
                <w:sz w:val="22"/>
                <w:szCs w:val="22"/>
              </w:rPr>
            </w:pPr>
          </w:p>
          <w:p w14:paraId="4E8F5B58" w14:textId="77777777" w:rsidR="00FE2E86" w:rsidRDefault="00197F62">
            <w:pPr>
              <w:jc w:val="both"/>
              <w:rPr>
                <w:rFonts w:ascii="Arial" w:eastAsia="Arial" w:hAnsi="Arial" w:cs="Arial"/>
                <w:b/>
                <w:sz w:val="22"/>
                <w:szCs w:val="22"/>
              </w:rPr>
            </w:pPr>
            <w:r>
              <w:rPr>
                <w:rFonts w:ascii="Arial" w:eastAsia="Arial" w:hAnsi="Arial" w:cs="Arial"/>
                <w:b/>
                <w:sz w:val="22"/>
                <w:szCs w:val="22"/>
              </w:rPr>
              <w:t>Findings</w:t>
            </w:r>
          </w:p>
          <w:p w14:paraId="6CB01B5A" w14:textId="77777777" w:rsidR="00FE2E86" w:rsidRDefault="00FE2E86">
            <w:pPr>
              <w:jc w:val="both"/>
              <w:rPr>
                <w:rFonts w:ascii="Arial" w:eastAsia="Arial" w:hAnsi="Arial" w:cs="Arial"/>
                <w:sz w:val="22"/>
                <w:szCs w:val="22"/>
              </w:rPr>
            </w:pPr>
          </w:p>
          <w:p w14:paraId="3B164A79" w14:textId="77777777" w:rsidR="00FE2E86" w:rsidRDefault="00197F62">
            <w:pPr>
              <w:jc w:val="both"/>
              <w:rPr>
                <w:rFonts w:ascii="Arial" w:eastAsia="Arial" w:hAnsi="Arial" w:cs="Arial"/>
                <w:b/>
                <w:sz w:val="22"/>
                <w:szCs w:val="22"/>
              </w:rPr>
            </w:pPr>
            <w:r>
              <w:rPr>
                <w:rFonts w:ascii="Arial" w:eastAsia="Arial" w:hAnsi="Arial" w:cs="Arial"/>
                <w:sz w:val="22"/>
                <w:szCs w:val="22"/>
              </w:rPr>
              <w:t xml:space="preserve">This paper will discuss (1) the importance of including community finance as a critical third sector alongside government and private finance; (2) the role and limits of financial innovation </w:t>
            </w:r>
            <w:proofErr w:type="gramStart"/>
            <w:r>
              <w:rPr>
                <w:rFonts w:ascii="Arial" w:eastAsia="Arial" w:hAnsi="Arial" w:cs="Arial"/>
                <w:sz w:val="22"/>
                <w:szCs w:val="22"/>
              </w:rPr>
              <w:t>as a means to</w:t>
            </w:r>
            <w:proofErr w:type="gramEnd"/>
            <w:r>
              <w:rPr>
                <w:rFonts w:ascii="Arial" w:eastAsia="Arial" w:hAnsi="Arial" w:cs="Arial"/>
                <w:sz w:val="22"/>
                <w:szCs w:val="22"/>
              </w:rPr>
              <w:t xml:space="preserve"> increasing investment; and (3) the importance of not neglecting ‘boring’ types of investment – from fiscal policy to infrastructure funding – to address the needs of climate adaptation.</w:t>
            </w:r>
          </w:p>
          <w:p w14:paraId="6133EAAF" w14:textId="77777777" w:rsidR="00FE2E86" w:rsidRDefault="00FE2E86">
            <w:pPr>
              <w:jc w:val="both"/>
              <w:rPr>
                <w:rFonts w:ascii="Arial" w:eastAsia="Arial" w:hAnsi="Arial" w:cs="Arial"/>
                <w:b/>
                <w:sz w:val="22"/>
                <w:szCs w:val="22"/>
              </w:rPr>
            </w:pPr>
          </w:p>
          <w:p w14:paraId="1FBF168A" w14:textId="77777777" w:rsidR="00FE2E86" w:rsidRDefault="00197F62">
            <w:pPr>
              <w:jc w:val="both"/>
              <w:rPr>
                <w:rFonts w:ascii="Arial" w:eastAsia="Arial" w:hAnsi="Arial" w:cs="Arial"/>
                <w:b/>
                <w:sz w:val="22"/>
                <w:szCs w:val="22"/>
                <w:u w:val="single"/>
              </w:rPr>
            </w:pPr>
            <w:r>
              <w:rPr>
                <w:rFonts w:ascii="Arial" w:eastAsia="Arial" w:hAnsi="Arial" w:cs="Arial"/>
                <w:b/>
                <w:sz w:val="22"/>
                <w:szCs w:val="22"/>
                <w:u w:val="single"/>
              </w:rPr>
              <w:t>Additional Panellists</w:t>
            </w:r>
          </w:p>
          <w:p w14:paraId="00D0733E" w14:textId="77777777" w:rsidR="00FE2E86" w:rsidRDefault="00FE2E86">
            <w:pPr>
              <w:jc w:val="both"/>
              <w:rPr>
                <w:rFonts w:ascii="Arial" w:eastAsia="Arial" w:hAnsi="Arial" w:cs="Arial"/>
                <w:b/>
                <w:sz w:val="22"/>
                <w:szCs w:val="22"/>
              </w:rPr>
            </w:pPr>
          </w:p>
          <w:p w14:paraId="57E1D376" w14:textId="77777777" w:rsidR="00FE2E86" w:rsidRDefault="00197F62">
            <w:pPr>
              <w:jc w:val="both"/>
              <w:rPr>
                <w:rFonts w:ascii="Arial" w:eastAsia="Arial" w:hAnsi="Arial" w:cs="Arial"/>
                <w:sz w:val="22"/>
                <w:szCs w:val="22"/>
              </w:rPr>
            </w:pPr>
            <w:r>
              <w:rPr>
                <w:rFonts w:ascii="Arial" w:eastAsia="Arial" w:hAnsi="Arial" w:cs="Arial"/>
                <w:sz w:val="22"/>
                <w:szCs w:val="22"/>
              </w:rPr>
              <w:t xml:space="preserve">We propose working with the AF2025 team/committees to identify a range of appropriate panellists who can contribute experiences and insights on adaptation finance, especially those who are already attending. An example of the people we might invite are: </w:t>
            </w:r>
          </w:p>
          <w:p w14:paraId="0D7A29B7" w14:textId="77777777" w:rsidR="00FE2E86" w:rsidRDefault="00FE2E86">
            <w:pPr>
              <w:jc w:val="both"/>
              <w:rPr>
                <w:rFonts w:ascii="Arial" w:eastAsia="Arial" w:hAnsi="Arial" w:cs="Arial"/>
                <w:sz w:val="22"/>
                <w:szCs w:val="22"/>
              </w:rPr>
            </w:pPr>
          </w:p>
          <w:p w14:paraId="229F1A3D" w14:textId="77777777" w:rsidR="00FE2E86" w:rsidRDefault="00197F62">
            <w:pPr>
              <w:numPr>
                <w:ilvl w:val="0"/>
                <w:numId w:val="2"/>
              </w:numPr>
              <w:jc w:val="both"/>
              <w:rPr>
                <w:rFonts w:ascii="Arial" w:eastAsia="Arial" w:hAnsi="Arial" w:cs="Arial"/>
                <w:sz w:val="22"/>
                <w:szCs w:val="22"/>
              </w:rPr>
            </w:pPr>
            <w:r>
              <w:rPr>
                <w:rFonts w:ascii="Arial" w:eastAsia="Arial" w:hAnsi="Arial" w:cs="Arial"/>
                <w:sz w:val="22"/>
                <w:szCs w:val="22"/>
              </w:rPr>
              <w:t>Paul Watkiss and/or Blanche Butera on adaptation finance in developing country contexts.</w:t>
            </w:r>
          </w:p>
          <w:p w14:paraId="4CBE57F2" w14:textId="77777777" w:rsidR="00FE2E86" w:rsidRDefault="00197F62">
            <w:pPr>
              <w:numPr>
                <w:ilvl w:val="0"/>
                <w:numId w:val="2"/>
              </w:numPr>
              <w:jc w:val="both"/>
              <w:rPr>
                <w:rFonts w:ascii="Arial" w:eastAsia="Arial" w:hAnsi="Arial" w:cs="Arial"/>
                <w:sz w:val="22"/>
                <w:szCs w:val="22"/>
              </w:rPr>
            </w:pPr>
            <w:r>
              <w:rPr>
                <w:rFonts w:ascii="Arial" w:eastAsia="Arial" w:hAnsi="Arial" w:cs="Arial"/>
                <w:sz w:val="22"/>
                <w:szCs w:val="22"/>
              </w:rPr>
              <w:t>Māori researcher on iwi investment and adaptation finance</w:t>
            </w:r>
          </w:p>
          <w:p w14:paraId="79BFB5F8" w14:textId="77777777" w:rsidR="00FE2E86" w:rsidRDefault="00197F62">
            <w:pPr>
              <w:numPr>
                <w:ilvl w:val="0"/>
                <w:numId w:val="2"/>
              </w:numPr>
              <w:jc w:val="both"/>
              <w:rPr>
                <w:rFonts w:ascii="Arial" w:eastAsia="Arial" w:hAnsi="Arial" w:cs="Arial"/>
                <w:sz w:val="22"/>
                <w:szCs w:val="22"/>
              </w:rPr>
            </w:pPr>
            <w:r>
              <w:rPr>
                <w:rFonts w:ascii="Arial" w:eastAsia="Arial" w:hAnsi="Arial" w:cs="Arial"/>
                <w:sz w:val="22"/>
                <w:szCs w:val="22"/>
              </w:rPr>
              <w:t>Insurance Council of New Zealand</w:t>
            </w:r>
          </w:p>
          <w:p w14:paraId="4AB4DA83" w14:textId="77777777" w:rsidR="00FE2E86" w:rsidRDefault="00197F62">
            <w:pPr>
              <w:numPr>
                <w:ilvl w:val="0"/>
                <w:numId w:val="2"/>
              </w:numPr>
              <w:jc w:val="both"/>
              <w:rPr>
                <w:rFonts w:ascii="Arial" w:eastAsia="Arial" w:hAnsi="Arial" w:cs="Arial"/>
                <w:sz w:val="22"/>
                <w:szCs w:val="22"/>
              </w:rPr>
            </w:pPr>
            <w:r>
              <w:rPr>
                <w:rFonts w:ascii="Arial" w:eastAsia="Arial" w:hAnsi="Arial" w:cs="Arial"/>
                <w:sz w:val="22"/>
                <w:szCs w:val="22"/>
              </w:rPr>
              <w:t xml:space="preserve">Pacific development specialist, either already involved in projects or from Ministry for Foreign Affairs Trade </w:t>
            </w:r>
          </w:p>
          <w:p w14:paraId="172FB154" w14:textId="73D7BB8B" w:rsidR="00FE2E86" w:rsidRDefault="00D7510D">
            <w:pPr>
              <w:numPr>
                <w:ilvl w:val="0"/>
                <w:numId w:val="2"/>
              </w:numPr>
              <w:jc w:val="both"/>
              <w:rPr>
                <w:rFonts w:ascii="Arial" w:eastAsia="Arial" w:hAnsi="Arial" w:cs="Arial"/>
                <w:sz w:val="22"/>
                <w:szCs w:val="22"/>
              </w:rPr>
            </w:pPr>
            <w:r>
              <w:rPr>
                <w:rFonts w:ascii="Arial" w:eastAsia="Arial" w:hAnsi="Arial" w:cs="Arial"/>
                <w:sz w:val="22"/>
                <w:szCs w:val="22"/>
              </w:rPr>
              <w:t>Institutional investor (e.g. NZ Super Fund)</w:t>
            </w:r>
          </w:p>
          <w:p w14:paraId="1BB29FE9" w14:textId="77777777" w:rsidR="00FE2E86" w:rsidRDefault="00FE2E86">
            <w:pPr>
              <w:jc w:val="both"/>
              <w:rPr>
                <w:rFonts w:ascii="Arial" w:eastAsia="Arial" w:hAnsi="Arial" w:cs="Arial"/>
                <w:b/>
                <w:sz w:val="22"/>
                <w:szCs w:val="22"/>
              </w:rPr>
            </w:pPr>
          </w:p>
          <w:p w14:paraId="328EEB46" w14:textId="77777777" w:rsidR="00FE2E86" w:rsidRDefault="00FE2E86">
            <w:pPr>
              <w:jc w:val="both"/>
              <w:rPr>
                <w:rFonts w:ascii="Arial" w:eastAsia="Arial" w:hAnsi="Arial" w:cs="Arial"/>
                <w:b/>
                <w:sz w:val="22"/>
                <w:szCs w:val="22"/>
              </w:rPr>
            </w:pPr>
          </w:p>
        </w:tc>
      </w:tr>
      <w:tr w:rsidR="00FE2E86" w14:paraId="62862930" w14:textId="77777777">
        <w:trPr>
          <w:trHeight w:val="576"/>
        </w:trPr>
        <w:tc>
          <w:tcPr>
            <w:tcW w:w="8640" w:type="dxa"/>
          </w:tcPr>
          <w:p w14:paraId="73AA2CD0" w14:textId="77777777" w:rsidR="00FE2E86" w:rsidRDefault="00FE2E86">
            <w:pPr>
              <w:jc w:val="both"/>
              <w:rPr>
                <w:rFonts w:ascii="Arial" w:eastAsia="Arial" w:hAnsi="Arial" w:cs="Arial"/>
                <w:b/>
                <w:sz w:val="22"/>
                <w:szCs w:val="22"/>
              </w:rPr>
            </w:pPr>
          </w:p>
        </w:tc>
      </w:tr>
    </w:tbl>
    <w:p w14:paraId="4FE6F96B" w14:textId="77777777" w:rsidR="00FE2E86" w:rsidRDefault="00FE2E86"/>
    <w:sectPr w:rsidR="00FE2E8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F95C957-63CF-490C-AD3F-945E6A488F0A}"/>
  </w:font>
  <w:font w:name="Calibri">
    <w:panose1 w:val="020F0502020204030204"/>
    <w:charset w:val="00"/>
    <w:family w:val="swiss"/>
    <w:pitch w:val="variable"/>
    <w:sig w:usb0="E4002EFF" w:usb1="C200247B" w:usb2="00000009" w:usb3="00000000" w:csb0="000001FF" w:csb1="00000000"/>
    <w:embedRegular r:id="rId2" w:fontKey="{A341E404-BAF8-40E9-9A6B-91C306F1265F}"/>
    <w:embedBold r:id="rId3" w:fontKey="{E024D2F2-693E-4C64-8FA3-5B38E514FFB3}"/>
  </w:font>
  <w:font w:name="Georgia">
    <w:panose1 w:val="02040502050405020303"/>
    <w:charset w:val="00"/>
    <w:family w:val="roman"/>
    <w:pitch w:val="variable"/>
    <w:sig w:usb0="00000287" w:usb1="00000000" w:usb2="00000000" w:usb3="00000000" w:csb0="0000009F" w:csb1="00000000"/>
    <w:embedRegular r:id="rId4" w:fontKey="{37F6C148-2555-4B73-A73E-940C4D9C940A}"/>
    <w:embedItalic r:id="rId5" w:fontKey="{6A39DCE8-FB2F-4887-BB12-86FA525F6FB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9396CE7-3BBF-4F9D-9A36-A6D0A21E8CC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230F3"/>
    <w:multiLevelType w:val="multilevel"/>
    <w:tmpl w:val="38BA8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121A41"/>
    <w:multiLevelType w:val="multilevel"/>
    <w:tmpl w:val="BB2AD8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353857"/>
    <w:multiLevelType w:val="multilevel"/>
    <w:tmpl w:val="3CBED6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4435777">
    <w:abstractNumId w:val="2"/>
  </w:num>
  <w:num w:numId="2" w16cid:durableId="251936856">
    <w:abstractNumId w:val="1"/>
  </w:num>
  <w:num w:numId="3" w16cid:durableId="1439566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E86"/>
    <w:rsid w:val="00197F62"/>
    <w:rsid w:val="002944AA"/>
    <w:rsid w:val="00504A83"/>
    <w:rsid w:val="00936CDB"/>
    <w:rsid w:val="00C34D93"/>
    <w:rsid w:val="00D7510D"/>
    <w:rsid w:val="00DB2079"/>
    <w:rsid w:val="00FE2E8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A9DCD"/>
  <w15:docId w15:val="{9D1DBCD6-7041-4448-A628-46749082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9F1F49-A00A-4225-9219-593E2CAC343E}">
  <ds:schemaRefs>
    <ds:schemaRef ds:uri="6911e96c-4cc4-42d5-8e43-f93924cf6a05"/>
    <ds:schemaRef ds:uri="9c8a2b7b-0bee-4c48-b0a6-23db8982d3bc"/>
    <ds:schemaRef ds:uri="http://www.w3.org/XML/1998/namespace"/>
    <ds:schemaRef ds:uri="cab52c9b-ab33-4221-8af9-54f8f2b86a80"/>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D755DF03-08BB-4096-B15A-EF51283C1058}">
  <ds:schemaRefs>
    <ds:schemaRef ds:uri="http://schemas.microsoft.com/sharepoint/v3/contenttype/forms"/>
  </ds:schemaRefs>
</ds:datastoreItem>
</file>

<file path=customXml/itemProps3.xml><?xml version="1.0" encoding="utf-8"?>
<ds:datastoreItem xmlns:ds="http://schemas.openxmlformats.org/officeDocument/2006/customXml" ds:itemID="{7A25001D-232C-4854-B679-D0E827F95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972</Words>
  <Characters>5547</Characters>
  <Application>Microsoft Office Word</Application>
  <DocSecurity>0</DocSecurity>
  <Lines>46</Lines>
  <Paragraphs>13</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Bethany Yee</cp:lastModifiedBy>
  <cp:revision>6</cp:revision>
  <dcterms:created xsi:type="dcterms:W3CDTF">2025-03-01T04:48:00Z</dcterms:created>
  <dcterms:modified xsi:type="dcterms:W3CDTF">2025-08-10T18:52:00Z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