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58C5F26B" w14:textId="77777777" w:rsidTr="60E47E90">
        <w:trPr>
          <w:jc w:val="center"/>
        </w:trPr>
        <w:tc>
          <w:tcPr>
            <w:tcW w:w="8640" w:type="dxa"/>
            <w:shd w:val="clear" w:color="auto" w:fill="auto"/>
          </w:tcPr>
          <w:p w14:paraId="1F2E92E4" w14:textId="1989DABE" w:rsidR="006D4713" w:rsidRPr="0050053A" w:rsidRDefault="00CD39F6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Malignant</w:t>
            </w:r>
            <w:r w:rsidR="006E49E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leural </w:t>
            </w:r>
            <w:r w:rsidR="006E49E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ffusions: </w:t>
            </w:r>
            <w:r w:rsidR="006E49E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g</w:t>
            </w:r>
            <w:r w:rsidR="00793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estalt, </w:t>
            </w:r>
            <w:r w:rsidR="006E49E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y</w:t>
            </w:r>
            <w:r w:rsidR="00793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ield and </w:t>
            </w:r>
            <w:r w:rsidR="006E49E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</w:t>
            </w:r>
            <w:r w:rsidR="00793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utcome</w:t>
            </w:r>
          </w:p>
        </w:tc>
      </w:tr>
      <w:tr w:rsidR="006D4713" w:rsidRPr="0050053A" w14:paraId="250D5F5C" w14:textId="77777777" w:rsidTr="60E47E90">
        <w:trPr>
          <w:jc w:val="center"/>
        </w:trPr>
        <w:tc>
          <w:tcPr>
            <w:tcW w:w="8640" w:type="dxa"/>
            <w:shd w:val="clear" w:color="auto" w:fill="auto"/>
          </w:tcPr>
          <w:p w14:paraId="3CF1D88D" w14:textId="79FDF50E" w:rsidR="006D4713" w:rsidRPr="00413B94" w:rsidRDefault="00CD39F6" w:rsidP="009C1987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60E47E90">
              <w:rPr>
                <w:rFonts w:ascii="Arial" w:hAnsi="Arial" w:cs="Arial"/>
                <w:sz w:val="22"/>
                <w:szCs w:val="22"/>
                <w:lang w:val="en-US" w:eastAsia="en-GB"/>
              </w:rPr>
              <w:t>Josephine Walker</w:t>
            </w:r>
            <w:r w:rsidR="006D4713" w:rsidRPr="60E47E9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6D4713" w:rsidRPr="60E47E9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60E47E9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Andrew Abboud</w:t>
            </w:r>
            <w:r w:rsidR="00DA4ED8" w:rsidRPr="60E47E9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36139921" w:rsidRPr="60E47E9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proofErr w:type="gramStart"/>
            <w:r w:rsidR="36139921" w:rsidRPr="60E47E9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D4713" w:rsidRPr="60E47E9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60E47E90">
              <w:rPr>
                <w:rFonts w:ascii="Arial" w:hAnsi="Arial" w:cs="Arial"/>
                <w:sz w:val="22"/>
                <w:szCs w:val="22"/>
                <w:lang w:val="en-US" w:eastAsia="en-GB"/>
              </w:rPr>
              <w:t>Ben</w:t>
            </w:r>
            <w:proofErr w:type="gramEnd"/>
            <w:r w:rsidRPr="60E47E9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60E47E90">
              <w:rPr>
                <w:rFonts w:ascii="Arial" w:hAnsi="Arial" w:cs="Arial"/>
                <w:sz w:val="22"/>
                <w:szCs w:val="22"/>
                <w:lang w:val="en-US" w:eastAsia="en-GB"/>
              </w:rPr>
              <w:t>Gerhardy</w:t>
            </w:r>
            <w:proofErr w:type="spellEnd"/>
            <w:r w:rsidRPr="60E47E9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2,</w:t>
            </w:r>
            <w:r w:rsidR="006D4713" w:rsidRPr="60E47E9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60E47E9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Pr="60E47E90"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  <w:t xml:space="preserve"> </w:t>
            </w:r>
          </w:p>
        </w:tc>
      </w:tr>
      <w:tr w:rsidR="006D4713" w:rsidRPr="0050053A" w14:paraId="4C9EDC2F" w14:textId="77777777" w:rsidTr="60E47E90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D100080" w14:textId="19148550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D39F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Division of Medicine, Nepean Hospital</w:t>
            </w:r>
          </w:p>
          <w:p w14:paraId="4E583A67" w14:textId="0F669181" w:rsidR="006D4713" w:rsidRPr="0050053A" w:rsidRDefault="006D4713" w:rsidP="60E47E90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60E47E9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39E68A3E" w:rsidRPr="60E47E90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Nepean Clinical School, University of Sydney</w:t>
            </w:r>
          </w:p>
          <w:p w14:paraId="441E9596" w14:textId="787B35F4" w:rsidR="006D4713" w:rsidRPr="0050053A" w:rsidRDefault="006D4713" w:rsidP="60E47E90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60E47E9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CD39F6" w:rsidRPr="60E47E90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Department of Intensive Care Medicine, Nepean Hospital</w:t>
            </w:r>
          </w:p>
          <w:p w14:paraId="6F207E6C" w14:textId="06138E44" w:rsidR="006D4713" w:rsidRPr="0050053A" w:rsidRDefault="006D4713" w:rsidP="60E47E90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60E47E9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62C10342" w:rsidRPr="60E47E90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 Department of Respiratory Medicine, Nepean Hospital</w:t>
            </w:r>
          </w:p>
        </w:tc>
      </w:tr>
      <w:tr w:rsidR="006D4713" w:rsidRPr="0050053A" w14:paraId="6C2E603E" w14:textId="77777777" w:rsidTr="60E47E90">
        <w:trPr>
          <w:trHeight w:hRule="exact" w:val="10896"/>
          <w:jc w:val="center"/>
        </w:trPr>
        <w:tc>
          <w:tcPr>
            <w:tcW w:w="8640" w:type="dxa"/>
            <w:shd w:val="clear" w:color="auto" w:fill="auto"/>
          </w:tcPr>
          <w:p w14:paraId="0571E719" w14:textId="0193696D" w:rsidR="006D4713" w:rsidRPr="0050053A" w:rsidRDefault="00293756" w:rsidP="009C1987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</w:p>
          <w:p w14:paraId="55B7DC43" w14:textId="6A3508EC" w:rsidR="006D4713" w:rsidRPr="002A0794" w:rsidRDefault="000B6364" w:rsidP="009C1987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M</w:t>
            </w:r>
            <w:r w:rsidR="002A0794">
              <w:rPr>
                <w:sz w:val="22"/>
                <w:szCs w:val="22"/>
              </w:rPr>
              <w:t>alignant pleural effusions</w:t>
            </w:r>
            <w:r>
              <w:rPr>
                <w:sz w:val="22"/>
                <w:szCs w:val="22"/>
              </w:rPr>
              <w:t xml:space="preserve"> (MPE)</w:t>
            </w:r>
            <w:r w:rsidR="002A0794">
              <w:rPr>
                <w:sz w:val="22"/>
                <w:szCs w:val="22"/>
              </w:rPr>
              <w:t xml:space="preserve"> upstages </w:t>
            </w:r>
            <w:r>
              <w:rPr>
                <w:sz w:val="22"/>
                <w:szCs w:val="22"/>
              </w:rPr>
              <w:t>most</w:t>
            </w:r>
            <w:r w:rsidR="002A0794">
              <w:rPr>
                <w:sz w:val="22"/>
                <w:szCs w:val="22"/>
              </w:rPr>
              <w:t xml:space="preserve"> solid organ </w:t>
            </w:r>
            <w:r>
              <w:rPr>
                <w:sz w:val="22"/>
                <w:szCs w:val="22"/>
              </w:rPr>
              <w:t>malignancies</w:t>
            </w:r>
            <w:r w:rsidR="002A0794">
              <w:rPr>
                <w:sz w:val="22"/>
                <w:szCs w:val="22"/>
              </w:rPr>
              <w:t xml:space="preserve">, however the diagnostic yield from suspected </w:t>
            </w:r>
            <w:r>
              <w:rPr>
                <w:sz w:val="22"/>
                <w:szCs w:val="22"/>
              </w:rPr>
              <w:t>MPEs is</w:t>
            </w:r>
            <w:r w:rsidR="002A0794">
              <w:rPr>
                <w:sz w:val="22"/>
                <w:szCs w:val="22"/>
              </w:rPr>
              <w:t xml:space="preserve"> variable</w:t>
            </w:r>
            <w:r>
              <w:rPr>
                <w:sz w:val="22"/>
                <w:szCs w:val="22"/>
              </w:rPr>
              <w:t xml:space="preserve"> </w:t>
            </w:r>
            <w:r w:rsidR="002A0794">
              <w:rPr>
                <w:sz w:val="22"/>
                <w:szCs w:val="22"/>
              </w:rPr>
              <w:t xml:space="preserve">and affected by tumour type, clinical </w:t>
            </w:r>
            <w:proofErr w:type="gramStart"/>
            <w:r w:rsidR="002A0794">
              <w:rPr>
                <w:sz w:val="22"/>
                <w:szCs w:val="22"/>
              </w:rPr>
              <w:t>conditions</w:t>
            </w:r>
            <w:proofErr w:type="gramEnd"/>
            <w:r w:rsidR="002A0794">
              <w:rPr>
                <w:sz w:val="22"/>
                <w:szCs w:val="22"/>
              </w:rPr>
              <w:t xml:space="preserve"> and cytologist experience. </w:t>
            </w:r>
            <w:proofErr w:type="gramStart"/>
            <w:r w:rsidR="002A0794">
              <w:rPr>
                <w:sz w:val="22"/>
                <w:szCs w:val="22"/>
              </w:rPr>
              <w:t>Furthermore</w:t>
            </w:r>
            <w:proofErr w:type="gramEnd"/>
            <w:r w:rsidR="002A0794">
              <w:rPr>
                <w:sz w:val="22"/>
                <w:szCs w:val="22"/>
              </w:rPr>
              <w:t xml:space="preserve"> the recently developed LENT and PROMISE scores have been </w:t>
            </w:r>
            <w:r w:rsidR="00101790">
              <w:rPr>
                <w:sz w:val="22"/>
                <w:szCs w:val="22"/>
              </w:rPr>
              <w:t>show</w:t>
            </w:r>
            <w:r w:rsidR="002A0794">
              <w:rPr>
                <w:sz w:val="22"/>
                <w:szCs w:val="22"/>
              </w:rPr>
              <w:t xml:space="preserve"> to predicted survival in patients with malignant effusions. We investigated the diagnostic yield of a cohort of patients with suspected MPEs to assess local yield and calculated both the LENT and PROMISE scores to get local </w:t>
            </w:r>
            <w:r w:rsidR="008307F4">
              <w:rPr>
                <w:sz w:val="22"/>
                <w:szCs w:val="22"/>
              </w:rPr>
              <w:t>data regarding applicability</w:t>
            </w:r>
            <w:r w:rsidR="002A0794">
              <w:rPr>
                <w:sz w:val="22"/>
                <w:szCs w:val="22"/>
              </w:rPr>
              <w:t>.</w:t>
            </w:r>
            <w:r w:rsidR="006D4713">
              <w:rPr>
                <w:sz w:val="22"/>
                <w:szCs w:val="22"/>
              </w:rPr>
              <w:br/>
            </w:r>
          </w:p>
          <w:p w14:paraId="0989E8D5" w14:textId="0E7E709B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 w:rsidR="009C00FA"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2B7F4F36" w14:textId="3321934B" w:rsidR="006D4713" w:rsidRPr="002A0794" w:rsidRDefault="002A0794" w:rsidP="009C1987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Retrospective cohort study using records obtained from </w:t>
            </w:r>
            <w:r w:rsidR="008307F4">
              <w:rPr>
                <w:sz w:val="22"/>
                <w:szCs w:val="22"/>
              </w:rPr>
              <w:t>a tertiary</w:t>
            </w:r>
            <w:r>
              <w:rPr>
                <w:sz w:val="22"/>
                <w:szCs w:val="22"/>
              </w:rPr>
              <w:t xml:space="preserve"> public hospital pathology laboratory for all pleural fluid specimens between 01 August 2018 and 22 September 2023. Individual charts were examined to collect demographic</w:t>
            </w:r>
            <w:r w:rsidR="00161FFA">
              <w:rPr>
                <w:sz w:val="22"/>
                <w:szCs w:val="22"/>
              </w:rPr>
              <w:t>, diagnostic and clinical data. Where MPE was identified the LENT and PROMISE scores were calculated.</w:t>
            </w:r>
            <w:r w:rsidR="006D4713">
              <w:rPr>
                <w:sz w:val="22"/>
                <w:szCs w:val="22"/>
              </w:rPr>
              <w:br/>
            </w:r>
          </w:p>
          <w:p w14:paraId="4E0E8EA7" w14:textId="77777777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3B9C9917" w14:textId="0FA43994" w:rsidR="00B21904" w:rsidRDefault="00B21904" w:rsidP="00B21904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B2190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1</w:t>
            </w:r>
            <w:r w:rsidR="0009013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</w:t>
            </w:r>
            <w:r w:rsidRPr="00B2190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8 pleural fluid samples from 135 patients were analysed in the </w:t>
            </w:r>
            <w:proofErr w:type="gramStart"/>
            <w:r w:rsidRPr="00B2190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time period</w:t>
            </w:r>
            <w:proofErr w:type="gramEnd"/>
            <w:r w:rsidRPr="00B21904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1818E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48 patients had a high clinical suspicion for malignancy, with 3</w:t>
            </w:r>
            <w:r w:rsidR="00637FB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6</w:t>
            </w:r>
            <w:r w:rsidR="00814B3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/48 (7</w:t>
            </w:r>
            <w:r w:rsidR="00637FB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5</w:t>
            </w:r>
            <w:r w:rsidR="00814B3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%)</w:t>
            </w:r>
            <w:r w:rsidR="001818E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patients ultimately diagnosed with </w:t>
            </w:r>
            <w:r w:rsidR="0010179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malignancy</w:t>
            </w:r>
            <w:r w:rsidR="001818E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.</w:t>
            </w:r>
            <w:r w:rsidR="00814B3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19/37 (51%) had malignant cells identified in the pleural fluid at the time of aspirate</w:t>
            </w:r>
            <w:r w:rsidR="004F38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, and</w:t>
            </w:r>
            <w:r w:rsidR="00814B3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3/37 (8%) had malignant cells as an unexpected finding. </w:t>
            </w:r>
            <w:r w:rsidR="0096216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36/37 and 23/37 patients had sufficient data for LENT and PROMISE score calculation respectively.</w:t>
            </w:r>
          </w:p>
          <w:p w14:paraId="15EDD267" w14:textId="77777777" w:rsidR="0096216D" w:rsidRDefault="0096216D" w:rsidP="00B21904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9"/>
              <w:gridCol w:w="851"/>
              <w:gridCol w:w="2268"/>
              <w:gridCol w:w="1276"/>
              <w:gridCol w:w="850"/>
              <w:gridCol w:w="2335"/>
            </w:tblGrid>
            <w:tr w:rsidR="0096216D" w:rsidRPr="00101790" w14:paraId="65AD4F5C" w14:textId="77777777" w:rsidTr="0096216D">
              <w:tc>
                <w:tcPr>
                  <w:tcW w:w="829" w:type="dxa"/>
                </w:tcPr>
                <w:p w14:paraId="7C42BDF7" w14:textId="2E0B252E" w:rsidR="0096216D" w:rsidRPr="00101790" w:rsidRDefault="0096216D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01790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LENT </w:t>
                  </w:r>
                </w:p>
              </w:tc>
              <w:tc>
                <w:tcPr>
                  <w:tcW w:w="851" w:type="dxa"/>
                </w:tcPr>
                <w:p w14:paraId="277EACDC" w14:textId="2E357AE1" w:rsidR="0096216D" w:rsidRPr="00101790" w:rsidRDefault="00101790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2268" w:type="dxa"/>
                </w:tcPr>
                <w:p w14:paraId="41BA3EA0" w14:textId="62A318DA" w:rsidR="0096216D" w:rsidRPr="00101790" w:rsidRDefault="0096216D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01790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Actual (expected) median survival</w:t>
                  </w:r>
                </w:p>
              </w:tc>
              <w:tc>
                <w:tcPr>
                  <w:tcW w:w="1276" w:type="dxa"/>
                </w:tcPr>
                <w:p w14:paraId="21015DA3" w14:textId="1DD12ED1" w:rsidR="0096216D" w:rsidRPr="00101790" w:rsidRDefault="0096216D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01790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PROMISE (clinical)</w:t>
                  </w:r>
                </w:p>
              </w:tc>
              <w:tc>
                <w:tcPr>
                  <w:tcW w:w="850" w:type="dxa"/>
                </w:tcPr>
                <w:p w14:paraId="4C720411" w14:textId="51AB10AE" w:rsidR="0096216D" w:rsidRPr="00101790" w:rsidRDefault="00101790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2335" w:type="dxa"/>
                </w:tcPr>
                <w:p w14:paraId="4D12CF73" w14:textId="12053796" w:rsidR="0096216D" w:rsidRPr="00101790" w:rsidRDefault="0096216D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101790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Actual (expected) </w:t>
                  </w:r>
                  <w:proofErr w:type="gramStart"/>
                  <w:r w:rsidRPr="00101790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3 month</w:t>
                  </w:r>
                  <w:proofErr w:type="gramEnd"/>
                  <w:r w:rsidRPr="00101790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mortality</w:t>
                  </w:r>
                </w:p>
              </w:tc>
            </w:tr>
            <w:tr w:rsidR="0096216D" w14:paraId="2B12AF73" w14:textId="77777777" w:rsidTr="0096216D">
              <w:tc>
                <w:tcPr>
                  <w:tcW w:w="829" w:type="dxa"/>
                </w:tcPr>
                <w:p w14:paraId="44CA5B6E" w14:textId="2AE117F9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0-1</w:t>
                  </w:r>
                </w:p>
              </w:tc>
              <w:tc>
                <w:tcPr>
                  <w:tcW w:w="851" w:type="dxa"/>
                </w:tcPr>
                <w:p w14:paraId="22227117" w14:textId="4D73C381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1E5948F0" w14:textId="5E6856EE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912 (319) days</w:t>
                  </w:r>
                </w:p>
              </w:tc>
              <w:tc>
                <w:tcPr>
                  <w:tcW w:w="1276" w:type="dxa"/>
                </w:tcPr>
                <w:p w14:paraId="624FE0E6" w14:textId="4B4423F3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0-20</w:t>
                  </w:r>
                </w:p>
              </w:tc>
              <w:tc>
                <w:tcPr>
                  <w:tcW w:w="850" w:type="dxa"/>
                </w:tcPr>
                <w:p w14:paraId="2D73BCDC" w14:textId="6D322C43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335" w:type="dxa"/>
                </w:tcPr>
                <w:p w14:paraId="4C210D93" w14:textId="67CE2B7F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14% (&lt;25%)</w:t>
                  </w:r>
                </w:p>
              </w:tc>
            </w:tr>
            <w:tr w:rsidR="0096216D" w14:paraId="27641FBB" w14:textId="77777777" w:rsidTr="0096216D">
              <w:tc>
                <w:tcPr>
                  <w:tcW w:w="829" w:type="dxa"/>
                </w:tcPr>
                <w:p w14:paraId="06E1899A" w14:textId="27351125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2-4</w:t>
                  </w:r>
                </w:p>
              </w:tc>
              <w:tc>
                <w:tcPr>
                  <w:tcW w:w="851" w:type="dxa"/>
                </w:tcPr>
                <w:p w14:paraId="15687C9D" w14:textId="003CDF6E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2268" w:type="dxa"/>
                </w:tcPr>
                <w:p w14:paraId="64815831" w14:textId="0C6B2C84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175 (130) days</w:t>
                  </w:r>
                </w:p>
              </w:tc>
              <w:tc>
                <w:tcPr>
                  <w:tcW w:w="1276" w:type="dxa"/>
                </w:tcPr>
                <w:p w14:paraId="512142BD" w14:textId="35F1ACFB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21-27</w:t>
                  </w:r>
                </w:p>
              </w:tc>
              <w:tc>
                <w:tcPr>
                  <w:tcW w:w="850" w:type="dxa"/>
                </w:tcPr>
                <w:p w14:paraId="040A3EEE" w14:textId="38D8FE13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335" w:type="dxa"/>
                </w:tcPr>
                <w:p w14:paraId="181CE404" w14:textId="4A1D15B0" w:rsidR="0096216D" w:rsidRDefault="00101790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50% (25-50%)</w:t>
                  </w:r>
                </w:p>
              </w:tc>
            </w:tr>
            <w:tr w:rsidR="0096216D" w14:paraId="1DC68098" w14:textId="77777777" w:rsidTr="0096216D">
              <w:tc>
                <w:tcPr>
                  <w:tcW w:w="829" w:type="dxa"/>
                </w:tcPr>
                <w:p w14:paraId="47221E34" w14:textId="77387F2C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5-7</w:t>
                  </w:r>
                </w:p>
              </w:tc>
              <w:tc>
                <w:tcPr>
                  <w:tcW w:w="851" w:type="dxa"/>
                </w:tcPr>
                <w:p w14:paraId="02ED7F7F" w14:textId="49DDD2D8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268" w:type="dxa"/>
                </w:tcPr>
                <w:p w14:paraId="6C40CD00" w14:textId="31320B99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23 (44) days</w:t>
                  </w:r>
                </w:p>
              </w:tc>
              <w:tc>
                <w:tcPr>
                  <w:tcW w:w="1276" w:type="dxa"/>
                </w:tcPr>
                <w:p w14:paraId="0D057D1B" w14:textId="26EEB6E8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28-35</w:t>
                  </w:r>
                </w:p>
              </w:tc>
              <w:tc>
                <w:tcPr>
                  <w:tcW w:w="850" w:type="dxa"/>
                </w:tcPr>
                <w:p w14:paraId="269D21D8" w14:textId="779802C7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35" w:type="dxa"/>
                </w:tcPr>
                <w:p w14:paraId="7528154F" w14:textId="720688AD" w:rsidR="0096216D" w:rsidRDefault="00101790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60% (50-75%)</w:t>
                  </w:r>
                </w:p>
              </w:tc>
            </w:tr>
            <w:tr w:rsidR="0096216D" w14:paraId="7AE76796" w14:textId="77777777" w:rsidTr="0096216D">
              <w:tc>
                <w:tcPr>
                  <w:tcW w:w="829" w:type="dxa"/>
                </w:tcPr>
                <w:p w14:paraId="63401BA9" w14:textId="77777777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2D72176F" w14:textId="77777777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CF9CC87" w14:textId="77777777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66280A4B" w14:textId="544F35AB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&gt;35</w:t>
                  </w:r>
                </w:p>
              </w:tc>
              <w:tc>
                <w:tcPr>
                  <w:tcW w:w="850" w:type="dxa"/>
                </w:tcPr>
                <w:p w14:paraId="291FC261" w14:textId="1DAF915E" w:rsidR="0096216D" w:rsidRDefault="0096216D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4270C2A1" w14:textId="4AA8F1FD" w:rsidR="0096216D" w:rsidRDefault="00101790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100% (&gt;75%)</w:t>
                  </w:r>
                </w:p>
              </w:tc>
            </w:tr>
          </w:tbl>
          <w:p w14:paraId="332A97F3" w14:textId="77777777" w:rsidR="0096216D" w:rsidRDefault="0096216D" w:rsidP="009C1987">
            <w:pPr>
              <w:pStyle w:val="Pa12"/>
              <w:rPr>
                <w:rStyle w:val="A4"/>
                <w:b/>
                <w:bCs/>
              </w:rPr>
            </w:pPr>
          </w:p>
          <w:p w14:paraId="6B430316" w14:textId="77AC9705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66FE603" w14:textId="07E9DE26" w:rsidR="006D4713" w:rsidRPr="002A0794" w:rsidRDefault="004F38E2" w:rsidP="009C1987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Clinician gestalt for a malignant effusion </w:t>
            </w:r>
            <w:r w:rsidR="000B6364">
              <w:rPr>
                <w:sz w:val="22"/>
                <w:szCs w:val="22"/>
              </w:rPr>
              <w:t>is high, with 75</w:t>
            </w:r>
            <w:r>
              <w:rPr>
                <w:sz w:val="22"/>
                <w:szCs w:val="22"/>
              </w:rPr>
              <w:t>%</w:t>
            </w:r>
            <w:r w:rsidR="000B6364">
              <w:rPr>
                <w:sz w:val="22"/>
                <w:szCs w:val="22"/>
              </w:rPr>
              <w:t xml:space="preserve"> of patients whose effusion was expected to be malignant subsequently being demonstrated. Of all patients with malignancy, a</w:t>
            </w:r>
            <w:r>
              <w:rPr>
                <w:sz w:val="22"/>
                <w:szCs w:val="22"/>
              </w:rPr>
              <w:t xml:space="preserve">pproximately 50% </w:t>
            </w:r>
            <w:r w:rsidR="00CD39F6">
              <w:rPr>
                <w:sz w:val="22"/>
                <w:szCs w:val="22"/>
              </w:rPr>
              <w:t xml:space="preserve">of </w:t>
            </w:r>
            <w:r w:rsidR="000B6364">
              <w:rPr>
                <w:sz w:val="22"/>
                <w:szCs w:val="22"/>
              </w:rPr>
              <w:t xml:space="preserve">those with </w:t>
            </w:r>
            <w:r w:rsidR="00CD39F6">
              <w:rPr>
                <w:sz w:val="22"/>
                <w:szCs w:val="22"/>
              </w:rPr>
              <w:t xml:space="preserve">effusions </w:t>
            </w:r>
            <w:r w:rsidR="000B6364">
              <w:rPr>
                <w:sz w:val="22"/>
                <w:szCs w:val="22"/>
              </w:rPr>
              <w:t>had</w:t>
            </w:r>
            <w:r w:rsidR="00CD39F6">
              <w:rPr>
                <w:sz w:val="22"/>
                <w:szCs w:val="22"/>
              </w:rPr>
              <w:t xml:space="preserve"> malignant cells on examinatio</w:t>
            </w:r>
            <w:r w:rsidR="00B84BC4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. Whilst we are limited by small numbers, the accuracy of both the LENT and PROMISE scores appear applicable to our health district. </w:t>
            </w:r>
            <w:r w:rsidR="006D4713">
              <w:rPr>
                <w:sz w:val="22"/>
                <w:szCs w:val="22"/>
              </w:rPr>
              <w:br/>
            </w:r>
          </w:p>
          <w:p w14:paraId="0DB185BB" w14:textId="0566FAD9" w:rsidR="0096216D" w:rsidRDefault="006D4713" w:rsidP="0096216D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2A0794">
              <w:rPr>
                <w:rStyle w:val="A4"/>
                <w:b/>
                <w:bCs/>
              </w:rPr>
              <w:t>NIL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6880E607" w14:textId="53FF5E06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34057834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50E13EAD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A2F0BDB" w14:textId="209D4294" w:rsidR="005E4443" w:rsidRDefault="005E4443"/>
    <w:p w14:paraId="4C0FE236" w14:textId="50BB56EC" w:rsidR="00EE3EA8" w:rsidRPr="005E4443" w:rsidRDefault="005E4443" w:rsidP="005E4443">
      <w:pPr>
        <w:ind w:firstLine="720"/>
        <w:rPr>
          <w:rFonts w:ascii="Arial" w:hAnsi="Arial" w:cs="Arial"/>
          <w:highlight w:val="lightGray"/>
        </w:rPr>
      </w:pPr>
      <w:r w:rsidRPr="005E4443">
        <w:rPr>
          <w:rFonts w:ascii="Arial" w:hAnsi="Arial" w:cs="Arial"/>
          <w:highlight w:val="lightGray"/>
        </w:rPr>
        <w:lastRenderedPageBreak/>
        <w:t>Maximum word count: 300 words.</w:t>
      </w:r>
    </w:p>
    <w:p w14:paraId="05E99160" w14:textId="77777777" w:rsidR="00224283" w:rsidRDefault="005E4443" w:rsidP="005E4443">
      <w:pPr>
        <w:ind w:firstLine="720"/>
        <w:rPr>
          <w:rFonts w:ascii="Arial" w:hAnsi="Arial" w:cs="Arial"/>
          <w:highlight w:val="lightGray"/>
        </w:rPr>
      </w:pPr>
      <w:r w:rsidRPr="005E4443">
        <w:rPr>
          <w:rFonts w:ascii="Arial" w:hAnsi="Arial" w:cs="Arial"/>
          <w:highlight w:val="lightGray"/>
        </w:rPr>
        <w:t>Maximum size inclusive of graphs and tables</w:t>
      </w:r>
      <w:r>
        <w:rPr>
          <w:rFonts w:ascii="Arial" w:hAnsi="Arial" w:cs="Arial"/>
          <w:highlight w:val="lightGray"/>
        </w:rPr>
        <w:t>: 1</w:t>
      </w:r>
      <w:r w:rsidRPr="005E4443">
        <w:rPr>
          <w:rFonts w:ascii="Arial" w:hAnsi="Arial" w:cs="Arial"/>
          <w:highlight w:val="lightGray"/>
        </w:rPr>
        <w:t xml:space="preserve"> page</w:t>
      </w:r>
    </w:p>
    <w:p w14:paraId="3B8E51EA" w14:textId="77777777" w:rsidR="00224283" w:rsidRDefault="00224283" w:rsidP="005E4443">
      <w:pPr>
        <w:ind w:firstLine="720"/>
        <w:rPr>
          <w:rFonts w:ascii="Arial" w:hAnsi="Arial" w:cs="Arial"/>
          <w:highlight w:val="lightGray"/>
        </w:rPr>
      </w:pPr>
    </w:p>
    <w:p w14:paraId="1EC2300B" w14:textId="18A4D9D7" w:rsidR="00224283" w:rsidRPr="00224283" w:rsidRDefault="00224283" w:rsidP="00224283">
      <w:pPr>
        <w:pStyle w:val="EndNoteBibliography"/>
        <w:rPr>
          <w:noProof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separate"/>
      </w:r>
    </w:p>
    <w:p w14:paraId="1865FF2C" w14:textId="4BBCA2E6" w:rsidR="005E4443" w:rsidRPr="005E4443" w:rsidRDefault="00224283" w:rsidP="005E444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5E4443" w:rsidRPr="005E4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pstazd50vw5teartpvw5f992dr2xvxxt59&quot;&gt;SRMA Library V2&lt;record-ids&gt;&lt;item&gt;28&lt;/item&gt;&lt;/record-ids&gt;&lt;/item&gt;&lt;/Libraries&gt;"/>
  </w:docVars>
  <w:rsids>
    <w:rsidRoot w:val="006D4713"/>
    <w:rsid w:val="0009013B"/>
    <w:rsid w:val="000B6364"/>
    <w:rsid w:val="00101790"/>
    <w:rsid w:val="00161FFA"/>
    <w:rsid w:val="001818E7"/>
    <w:rsid w:val="00224283"/>
    <w:rsid w:val="00293756"/>
    <w:rsid w:val="002A0794"/>
    <w:rsid w:val="00323005"/>
    <w:rsid w:val="00386B05"/>
    <w:rsid w:val="0039014D"/>
    <w:rsid w:val="00413B94"/>
    <w:rsid w:val="00492710"/>
    <w:rsid w:val="004F38E2"/>
    <w:rsid w:val="005E4443"/>
    <w:rsid w:val="00601A14"/>
    <w:rsid w:val="00637FB7"/>
    <w:rsid w:val="006D4713"/>
    <w:rsid w:val="006E49E1"/>
    <w:rsid w:val="00734002"/>
    <w:rsid w:val="0079329C"/>
    <w:rsid w:val="00814B32"/>
    <w:rsid w:val="008307F4"/>
    <w:rsid w:val="0096216D"/>
    <w:rsid w:val="009C00FA"/>
    <w:rsid w:val="00AD1D4A"/>
    <w:rsid w:val="00B21904"/>
    <w:rsid w:val="00B84BC4"/>
    <w:rsid w:val="00C741CF"/>
    <w:rsid w:val="00C91C8C"/>
    <w:rsid w:val="00CD39F6"/>
    <w:rsid w:val="00DA4ED8"/>
    <w:rsid w:val="00EE3EA8"/>
    <w:rsid w:val="00F67B0C"/>
    <w:rsid w:val="04E1D3CC"/>
    <w:rsid w:val="36139921"/>
    <w:rsid w:val="39E68A3E"/>
    <w:rsid w:val="430FE9F0"/>
    <w:rsid w:val="60E47E90"/>
    <w:rsid w:val="62C1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EDFD4"/>
  <w15:docId w15:val="{02275EF8-C98F-A441-AB83-15D1303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6D4713"/>
    <w:pPr>
      <w:spacing w:line="241" w:lineRule="atLeast"/>
    </w:pPr>
    <w:rPr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224283"/>
    <w:pPr>
      <w:jc w:val="center"/>
    </w:pPr>
    <w:rPr>
      <w:lang w:val="en-US"/>
    </w:rPr>
  </w:style>
  <w:style w:type="character" w:customStyle="1" w:styleId="DefaultChar">
    <w:name w:val="Default Char"/>
    <w:basedOn w:val="DefaultParagraphFont"/>
    <w:link w:val="Default"/>
    <w:rsid w:val="00224283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224283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EndNoteBibliographyTitleChar">
    <w:name w:val="EndNote Bibliography Title Char"/>
    <w:basedOn w:val="Pa12Char"/>
    <w:link w:val="EndNoteBibliographyTitle"/>
    <w:rsid w:val="00224283"/>
    <w:rPr>
      <w:rFonts w:ascii="Times New Roman" w:eastAsia="Times New Roman" w:hAnsi="Times New Roman" w:cs="Times New Roman"/>
      <w:color w:val="000000"/>
      <w:sz w:val="24"/>
      <w:szCs w:val="24"/>
      <w:lang w:val="en-US" w:eastAsia="en-NZ"/>
    </w:rPr>
  </w:style>
  <w:style w:type="paragraph" w:customStyle="1" w:styleId="EndNoteBibliography">
    <w:name w:val="EndNote Bibliography"/>
    <w:basedOn w:val="Normal"/>
    <w:link w:val="EndNoteBibliographyChar"/>
    <w:rsid w:val="00224283"/>
    <w:rPr>
      <w:lang w:val="en-US"/>
    </w:rPr>
  </w:style>
  <w:style w:type="character" w:customStyle="1" w:styleId="EndNoteBibliographyChar">
    <w:name w:val="EndNote Bibliography Char"/>
    <w:basedOn w:val="Pa12Char"/>
    <w:link w:val="EndNoteBibliography"/>
    <w:rsid w:val="00224283"/>
    <w:rPr>
      <w:rFonts w:ascii="Times New Roman" w:eastAsia="Times New Roman" w:hAnsi="Times New Roman" w:cs="Times New Roman"/>
      <w:color w:val="000000"/>
      <w:sz w:val="24"/>
      <w:szCs w:val="24"/>
      <w:lang w:val="en-US" w:eastAsia="en-NZ"/>
    </w:rPr>
  </w:style>
  <w:style w:type="table" w:styleId="TableGrid">
    <w:name w:val="Table Grid"/>
    <w:basedOn w:val="TableNormal"/>
    <w:uiPriority w:val="59"/>
    <w:rsid w:val="0096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C4964-186A-42EF-A190-9D8D62EAB3D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ab52c9b-ab33-4221-8af9-54f8f2b86a80"/>
    <ds:schemaRef ds:uri="9c8a2b7b-0bee-4c48-b0a6-23db8982d3bc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F633AF-3BA2-45CF-9623-1C291D286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22B10-42F7-4367-BBB8-347FCE00C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>Toshiba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Leah McLeod</cp:lastModifiedBy>
  <cp:revision>2</cp:revision>
  <dcterms:created xsi:type="dcterms:W3CDTF">2023-10-20T02:58:00Z</dcterms:created>
  <dcterms:modified xsi:type="dcterms:W3CDTF">2023-10-20T02:58:00Z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