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4"/>
      </w:tblGrid>
      <w:tr w:rsidR="006D4713" w:rsidRPr="00243800" w14:paraId="6C68AC80" w14:textId="77777777" w:rsidTr="00EA204D">
        <w:trPr>
          <w:trHeight w:val="621"/>
          <w:jc w:val="center"/>
        </w:trPr>
        <w:tc>
          <w:tcPr>
            <w:tcW w:w="8834" w:type="dxa"/>
            <w:shd w:val="clear" w:color="auto" w:fill="auto"/>
          </w:tcPr>
          <w:p w14:paraId="6C68AC7F" w14:textId="18C8237B" w:rsidR="0055250D" w:rsidRPr="00243800" w:rsidRDefault="00A11BB7" w:rsidP="001B6E2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24380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Reduced capillary blood volume drives </w:t>
            </w:r>
            <w:r w:rsidR="000C2E7A" w:rsidRPr="0024380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functional oxygen desaturation </w:t>
            </w:r>
            <w:r w:rsidRPr="0024380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 IPF</w:t>
            </w:r>
          </w:p>
        </w:tc>
      </w:tr>
      <w:tr w:rsidR="006D4713" w:rsidRPr="00243800" w14:paraId="6C68AC82" w14:textId="77777777" w:rsidTr="00EA204D">
        <w:trPr>
          <w:trHeight w:val="603"/>
          <w:jc w:val="center"/>
        </w:trPr>
        <w:tc>
          <w:tcPr>
            <w:tcW w:w="8834" w:type="dxa"/>
            <w:shd w:val="clear" w:color="auto" w:fill="auto"/>
          </w:tcPr>
          <w:p w14:paraId="6C68AC81" w14:textId="0A01E00D" w:rsidR="006D4713" w:rsidRPr="00243800" w:rsidRDefault="004B4E3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bookmarkStart w:id="0" w:name="Text8"/>
            <w:r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Kate Dusanovski</w:t>
            </w:r>
            <w:r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 w:rsidR="001B6123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Caoimhe Tierney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Elizabeth Veitch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Matthew Peters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Leigh Seccombe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8129B"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</w:t>
            </w:r>
          </w:p>
        </w:tc>
      </w:tr>
      <w:tr w:rsidR="006D4713" w:rsidRPr="00243800" w14:paraId="6C68AC88" w14:textId="77777777" w:rsidTr="00EA204D">
        <w:trPr>
          <w:trHeight w:val="165"/>
          <w:jc w:val="center"/>
        </w:trPr>
        <w:tc>
          <w:tcPr>
            <w:tcW w:w="8834" w:type="dxa"/>
            <w:shd w:val="clear" w:color="auto" w:fill="auto"/>
          </w:tcPr>
          <w:p w14:paraId="6C68AC83" w14:textId="0A9EC076" w:rsidR="006D4713" w:rsidRPr="00243800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B4E33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Thoracic Medicine, 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Concord Repatriation General Hospital, NSW, Australia</w:t>
            </w:r>
          </w:p>
          <w:p w14:paraId="6C68AC87" w14:textId="22F3DAB2" w:rsidR="006D4713" w:rsidRPr="00243800" w:rsidRDefault="006D4713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24380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276BB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Concord Clinical School</w:t>
            </w:r>
            <w:r w:rsidR="00840756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B45E8C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Faculty of Medicine</w:t>
            </w:r>
            <w:r w:rsidR="00840756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Health</w:t>
            </w:r>
            <w:r w:rsidR="00B45E8C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T</w:t>
            </w:r>
            <w:r w:rsidR="005A2078" w:rsidRPr="00243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he University of Sydney, NSW, Australia</w:t>
            </w:r>
          </w:p>
        </w:tc>
      </w:tr>
      <w:tr w:rsidR="006D4713" w:rsidRPr="00243800" w14:paraId="6C68ACA3" w14:textId="77777777" w:rsidTr="00D61C51">
        <w:trPr>
          <w:trHeight w:hRule="exact" w:val="10371"/>
          <w:jc w:val="center"/>
        </w:trPr>
        <w:tc>
          <w:tcPr>
            <w:tcW w:w="8834" w:type="dxa"/>
            <w:shd w:val="clear" w:color="auto" w:fill="auto"/>
          </w:tcPr>
          <w:p w14:paraId="6C68AC89" w14:textId="77777777" w:rsidR="006D4713" w:rsidRPr="00243800" w:rsidRDefault="00752808" w:rsidP="009C1987">
            <w:pPr>
              <w:pStyle w:val="Pa12"/>
              <w:rPr>
                <w:rStyle w:val="A4"/>
              </w:rPr>
            </w:pPr>
            <w:r w:rsidRPr="00243800">
              <w:rPr>
                <w:rStyle w:val="A4"/>
                <w:b/>
                <w:bCs/>
              </w:rPr>
              <w:t>Introduction/</w:t>
            </w:r>
            <w:r w:rsidR="006D4713" w:rsidRPr="00243800">
              <w:rPr>
                <w:rStyle w:val="A4"/>
                <w:b/>
                <w:bCs/>
              </w:rPr>
              <w:t xml:space="preserve">Aim: </w:t>
            </w:r>
          </w:p>
          <w:p w14:paraId="7C77AC99" w14:textId="729C5234" w:rsidR="00B1327D" w:rsidRPr="00243800" w:rsidRDefault="00BD1176" w:rsidP="00B132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DL</w:t>
            </w:r>
            <w:r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is </w:t>
            </w:r>
            <w:r w:rsidR="00CB735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reduced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in patients with </w:t>
            </w:r>
            <w:r w:rsidR="00CB735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idiopathic </w:t>
            </w:r>
            <w:r w:rsidR="00B3217F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pulmonary fibrosis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</w:t>
            </w:r>
            <w:r w:rsidR="00B3217F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IPF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)</w:t>
            </w:r>
            <w:r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and is 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one parameter used to grade </w:t>
            </w:r>
            <w:r w:rsidR="00DB3C32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disease severity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It is related to symptoms </w:t>
            </w:r>
            <w:r w:rsidR="00692C5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such as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dyspnoea</w:t>
            </w:r>
            <w:r w:rsidR="00D235CE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and </w:t>
            </w:r>
            <w:r w:rsidR="00DB3C32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outcomes 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including</w:t>
            </w:r>
            <w:r w:rsidR="00DB3C32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survival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DL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7D640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F1144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is dependent on conductance of the alveolar-capillary membrane (Dm</w:t>
            </w:r>
            <w:r w:rsidR="00F1144E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F1144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) and pulmonary capillary blood volume (V</w:t>
            </w:r>
            <w:r w:rsidR="00F1144E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</w:t>
            </w:r>
            <w:r w:rsidR="00F1144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) acting in series.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The aim of this study was to evaluate </w:t>
            </w:r>
            <w:r w:rsidR="00A1218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the relative contributions of </w:t>
            </w:r>
            <w:r w:rsidR="00F1144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each element </w:t>
            </w:r>
            <w:r w:rsidR="00A1218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to 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reduced DL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in patients with </w:t>
            </w:r>
            <w:r w:rsidR="00214E5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IPF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and to investigate any associations with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functional</w:t>
            </w:r>
            <w:r w:rsidR="004B4E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outcomes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as measured with 6MWT</w:t>
            </w:r>
            <w:r w:rsidR="004B4E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</w:p>
          <w:p w14:paraId="50E2DC74" w14:textId="77777777" w:rsidR="001B6E28" w:rsidRPr="00243800" w:rsidRDefault="001B6E28" w:rsidP="00B1327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val="en-AU"/>
              </w:rPr>
            </w:pPr>
          </w:p>
          <w:p w14:paraId="6C68AC8D" w14:textId="77777777" w:rsidR="006D4713" w:rsidRPr="00243800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243800">
              <w:rPr>
                <w:rStyle w:val="A4"/>
                <w:b/>
                <w:bCs/>
              </w:rPr>
              <w:t xml:space="preserve">Method: </w:t>
            </w:r>
          </w:p>
          <w:p w14:paraId="4215FBCC" w14:textId="496230D9" w:rsidR="00B1327D" w:rsidRPr="00243800" w:rsidRDefault="002951C3" w:rsidP="004B4E3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atients with </w:t>
            </w:r>
            <w:r w:rsidR="004B4E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IPF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5461E5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attend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ing for clinical review </w:t>
            </w:r>
            <w:r w:rsidR="007B5B8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performed pulmonary</w:t>
            </w:r>
            <w:r w:rsidR="001842C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function</w:t>
            </w:r>
            <w:r w:rsidR="005A186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testing</w:t>
            </w:r>
            <w:r w:rsidR="001842C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including</w:t>
            </w:r>
            <w:r w:rsidR="004B4E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spirometry,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plethysmography, </w:t>
            </w:r>
            <w:r w:rsidR="00571768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DL</w:t>
            </w:r>
            <w:r w:rsidR="00571768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(Master</w:t>
            </w:r>
            <w:r w:rsidR="00B6000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Screen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Jaeger, Hoec</w:t>
            </w:r>
            <w:r w:rsidR="00F617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hberg)</w:t>
            </w:r>
            <w:r w:rsidR="00D02A4B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,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combined DL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NO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/DL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1842C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(Hyp’Air; Medisoft, </w:t>
            </w:r>
            <w:r w:rsidR="00A978BF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Belgium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) </w:t>
            </w:r>
            <w:r w:rsidR="00D02A4B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and</w:t>
            </w:r>
            <w:r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6MWT</w:t>
            </w:r>
            <w:r w:rsidR="004B4E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  <w:r w:rsidR="00913629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Within-subject comparisons were made using paired t-tests. </w:t>
            </w:r>
            <w:r w:rsidR="003A5A9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DL</w:t>
            </w:r>
            <w:r w:rsidR="003A5A91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3A5A9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values were adjusted for Hb. 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Correlations between lung function and 6MWT </w:t>
            </w:r>
            <w:r w:rsidR="00913629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parameters </w:t>
            </w:r>
            <w:r w:rsidR="00763FB0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were sought using Pearson correlation</w:t>
            </w:r>
            <w:r w:rsidR="00F617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</w:t>
            </w:r>
            <w:r w:rsidR="00082E8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All values are </w:t>
            </w:r>
            <w:r w:rsidR="008D6D59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mean ±SD expressed </w:t>
            </w:r>
            <w:r w:rsidR="00082E8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as percentage of </w:t>
            </w:r>
            <w:r w:rsidR="00A81449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reference</w:t>
            </w:r>
            <w:r w:rsidR="0059566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values</w:t>
            </w:r>
            <w:r w:rsidR="00631B82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</w:p>
          <w:tbl>
            <w:tblPr>
              <w:tblStyle w:val="TableGrid"/>
              <w:tblpPr w:leftFromText="180" w:rightFromText="180" w:vertAnchor="text" w:horzAnchor="margin" w:tblpXSpec="right" w:tblpY="3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2092"/>
            </w:tblGrid>
            <w:tr w:rsidR="00DA0E44" w:rsidRPr="00243800" w14:paraId="1FB2D24E" w14:textId="77777777" w:rsidTr="00DA0E44">
              <w:tc>
                <w:tcPr>
                  <w:tcW w:w="1872" w:type="dxa"/>
                </w:tcPr>
                <w:p w14:paraId="59AE8C02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Subjects</w:t>
                  </w:r>
                </w:p>
              </w:tc>
              <w:tc>
                <w:tcPr>
                  <w:tcW w:w="2092" w:type="dxa"/>
                </w:tcPr>
                <w:p w14:paraId="183E0E2F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17 (14M) 59-83 yrs</w:t>
                  </w:r>
                </w:p>
              </w:tc>
            </w:tr>
            <w:tr w:rsidR="00DA0E44" w:rsidRPr="00243800" w14:paraId="13FF2446" w14:textId="77777777" w:rsidTr="00DA0E44">
              <w:tc>
                <w:tcPr>
                  <w:tcW w:w="1872" w:type="dxa"/>
                </w:tcPr>
                <w:p w14:paraId="2A3ABAC7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FVC</w:t>
                  </w:r>
                </w:p>
              </w:tc>
              <w:tc>
                <w:tcPr>
                  <w:tcW w:w="2092" w:type="dxa"/>
                </w:tcPr>
                <w:p w14:paraId="2A1C1FDD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93±21%</w:t>
                  </w:r>
                </w:p>
              </w:tc>
            </w:tr>
            <w:tr w:rsidR="00DA0E44" w:rsidRPr="00243800" w14:paraId="6DCED561" w14:textId="77777777" w:rsidTr="00DA0E44">
              <w:tc>
                <w:tcPr>
                  <w:tcW w:w="1872" w:type="dxa"/>
                </w:tcPr>
                <w:p w14:paraId="3E1F53BE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 xml:space="preserve">TLC </w:t>
                  </w:r>
                </w:p>
              </w:tc>
              <w:tc>
                <w:tcPr>
                  <w:tcW w:w="2092" w:type="dxa"/>
                </w:tcPr>
                <w:p w14:paraId="52DC7059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79±16%,</w:t>
                  </w:r>
                </w:p>
              </w:tc>
            </w:tr>
            <w:tr w:rsidR="00DA0E44" w:rsidRPr="00243800" w14:paraId="13B69F01" w14:textId="77777777" w:rsidTr="00DA0E44">
              <w:tc>
                <w:tcPr>
                  <w:tcW w:w="1872" w:type="dxa"/>
                </w:tcPr>
                <w:p w14:paraId="32DCDC48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DL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vertAlign w:val="subscript"/>
                      <w:lang w:val="en-AU"/>
                    </w:rPr>
                    <w:t>CO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adj</w:t>
                  </w:r>
                </w:p>
              </w:tc>
              <w:tc>
                <w:tcPr>
                  <w:tcW w:w="2092" w:type="dxa"/>
                </w:tcPr>
                <w:p w14:paraId="5DFB7B50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60±15%,</w:t>
                  </w:r>
                </w:p>
              </w:tc>
            </w:tr>
            <w:tr w:rsidR="00DA0E44" w:rsidRPr="00243800" w14:paraId="539C450A" w14:textId="77777777" w:rsidTr="00DA0E44">
              <w:tc>
                <w:tcPr>
                  <w:tcW w:w="1872" w:type="dxa"/>
                </w:tcPr>
                <w:p w14:paraId="5FFEB544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DL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vertAlign w:val="subscript"/>
                      <w:lang w:val="en-AU"/>
                    </w:rPr>
                    <w:t>NO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 xml:space="preserve"> </w:t>
                  </w:r>
                </w:p>
              </w:tc>
              <w:tc>
                <w:tcPr>
                  <w:tcW w:w="2092" w:type="dxa"/>
                </w:tcPr>
                <w:p w14:paraId="497CCB9E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60±17%</w:t>
                  </w:r>
                </w:p>
              </w:tc>
            </w:tr>
            <w:tr w:rsidR="00DA0E44" w:rsidRPr="00243800" w14:paraId="1A9C3F8D" w14:textId="77777777" w:rsidTr="00DA0E44">
              <w:tc>
                <w:tcPr>
                  <w:tcW w:w="1872" w:type="dxa"/>
                </w:tcPr>
                <w:p w14:paraId="2D1165E7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Dm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vertAlign w:val="subscript"/>
                      <w:lang w:val="en-AU"/>
                    </w:rPr>
                    <w:t>CO</w:t>
                  </w:r>
                </w:p>
              </w:tc>
              <w:tc>
                <w:tcPr>
                  <w:tcW w:w="2092" w:type="dxa"/>
                </w:tcPr>
                <w:p w14:paraId="0F7F1D85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75 ± 32%.</w:t>
                  </w:r>
                </w:p>
              </w:tc>
            </w:tr>
            <w:tr w:rsidR="00DA0E44" w:rsidRPr="00243800" w14:paraId="378C71E2" w14:textId="77777777" w:rsidTr="00DA0E44">
              <w:tc>
                <w:tcPr>
                  <w:tcW w:w="1872" w:type="dxa"/>
                </w:tcPr>
                <w:p w14:paraId="773EBB97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V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vertAlign w:val="subscript"/>
                      <w:lang w:val="en-AU"/>
                    </w:rPr>
                    <w:t>C</w:t>
                  </w:r>
                </w:p>
              </w:tc>
              <w:tc>
                <w:tcPr>
                  <w:tcW w:w="2092" w:type="dxa"/>
                </w:tcPr>
                <w:p w14:paraId="3CAF98FA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49 ± 16%</w:t>
                  </w:r>
                </w:p>
              </w:tc>
            </w:tr>
            <w:tr w:rsidR="00DA0E44" w:rsidRPr="00243800" w14:paraId="5B5BB142" w14:textId="77777777" w:rsidTr="00DA0E44">
              <w:tc>
                <w:tcPr>
                  <w:tcW w:w="1872" w:type="dxa"/>
                </w:tcPr>
                <w:p w14:paraId="21F9B462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DL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vertAlign w:val="subscript"/>
                      <w:lang w:val="en-AU"/>
                    </w:rPr>
                    <w:t>NO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/DL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vertAlign w:val="subscript"/>
                      <w:lang w:val="en-AU"/>
                    </w:rPr>
                    <w:t>CO</w:t>
                  </w: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 xml:space="preserve"> ratio</w:t>
                  </w:r>
                </w:p>
              </w:tc>
              <w:tc>
                <w:tcPr>
                  <w:tcW w:w="2092" w:type="dxa"/>
                </w:tcPr>
                <w:p w14:paraId="0389DFCF" w14:textId="77777777" w:rsidR="00DA0E44" w:rsidRPr="00243800" w:rsidRDefault="00DA0E44" w:rsidP="00DA0E44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</w:pPr>
                  <w:r w:rsidRPr="00243800">
                    <w:rPr>
                      <w:rFonts w:ascii="Arial" w:eastAsiaTheme="minorHAnsi" w:hAnsi="Arial" w:cs="Arial"/>
                      <w:sz w:val="22"/>
                      <w:szCs w:val="22"/>
                      <w:lang w:val="en-AU"/>
                    </w:rPr>
                    <w:t>5.4±0.6.</w:t>
                  </w:r>
                </w:p>
              </w:tc>
            </w:tr>
          </w:tbl>
          <w:p w14:paraId="12D12D00" w14:textId="77777777" w:rsidR="001B6E28" w:rsidRPr="00243800" w:rsidRDefault="001B6E28" w:rsidP="004B4E3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7"/>
                <w:szCs w:val="17"/>
                <w:lang w:val="en-AU"/>
              </w:rPr>
            </w:pPr>
          </w:p>
          <w:p w14:paraId="29BE4C60" w14:textId="5851CDD2" w:rsidR="001C7386" w:rsidRPr="00243800" w:rsidRDefault="006D4713" w:rsidP="00707778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243800">
              <w:rPr>
                <w:rStyle w:val="A4"/>
                <w:b/>
                <w:bCs/>
              </w:rPr>
              <w:t xml:space="preserve">Results: </w:t>
            </w:r>
          </w:p>
          <w:p w14:paraId="5B429400" w14:textId="433241FA" w:rsidR="006176D6" w:rsidRPr="006176D6" w:rsidRDefault="006176D6" w:rsidP="006176D6">
            <w:pPr>
              <w:autoSpaceDE w:val="0"/>
              <w:autoSpaceDN w:val="0"/>
              <w:adjustRightInd w:val="0"/>
              <w:rPr>
                <w:rStyle w:val="A4"/>
                <w:rFonts w:ascii="Arial" w:eastAsiaTheme="minorHAnsi" w:hAnsi="Arial" w:cs="Arial"/>
                <w:color w:val="auto"/>
                <w:lang w:val="en-AU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Lung function results are presented in table 1. 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Dm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and V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 xml:space="preserve">C 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were both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 xml:space="preserve"> </w:t>
            </w:r>
            <w:r w:rsidR="00796DE5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reduced</w:t>
            </w:r>
            <w:r w:rsidR="00DD16F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however </w:t>
            </w:r>
            <w:r w:rsidR="00DD16F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V</w:t>
            </w:r>
            <w:r w:rsidR="00DD16F1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</w:t>
            </w:r>
            <w:r w:rsidR="00DD16F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was </w:t>
            </w:r>
            <w:r w:rsidR="00ED23AB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reduced to a greater extent than </w:t>
            </w:r>
            <w:r w:rsidR="00DD16F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Dm</w:t>
            </w:r>
            <w:r w:rsidR="00DD16F1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DD16F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48793A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</w:t>
            </w:r>
            <w:r w:rsidR="009B3E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p&lt;0.01</w:t>
            </w:r>
            <w:r w:rsidR="00DD16F1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)</w:t>
            </w:r>
            <w:r w:rsidR="00194BF7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  <w:r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F708F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There were positive correlations between </w:t>
            </w:r>
            <w:r w:rsidR="002107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V</w:t>
            </w:r>
            <w:r w:rsidR="00210733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</w:t>
            </w:r>
            <w:r w:rsidR="00F708F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and </w:t>
            </w:r>
            <w:r w:rsidR="00D0730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TLC</w:t>
            </w:r>
            <w:r w:rsidR="00433BF5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6E2DDC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(r =</w:t>
            </w:r>
            <w:r w:rsidR="001D1FE8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0.</w:t>
            </w:r>
            <w:r w:rsidR="00EE6ED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59</w:t>
            </w:r>
            <w:r w:rsidR="006E2DDC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, p = </w:t>
            </w:r>
            <w:r w:rsidR="001D1FE8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0.0</w:t>
            </w:r>
            <w:r w:rsidR="007570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2</w:t>
            </w:r>
            <w:r w:rsidR="006E2DDC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)</w:t>
            </w:r>
            <w:r w:rsidR="00156E17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, </w:t>
            </w:r>
            <w:r w:rsidR="002611B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minimum </w:t>
            </w:r>
            <w:r w:rsidR="0035782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SpO</w:t>
            </w:r>
            <w:r w:rsidR="00357823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2</w:t>
            </w:r>
            <w:r w:rsidR="0035782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156E17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during 6MWT (r = 0.71, p</w:t>
            </w:r>
            <w:r w:rsidR="002107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&lt;</w:t>
            </w:r>
            <w:r w:rsidR="00156E17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0.01) </w:t>
            </w:r>
            <w:r w:rsidR="005360E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and change in </w:t>
            </w:r>
            <w:r w:rsidR="002611B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SpO</w:t>
            </w:r>
            <w:r w:rsidR="002611BE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2</w:t>
            </w:r>
            <w:r w:rsidR="00156E17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2611B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during 6MWT</w:t>
            </w:r>
            <w:r w:rsidR="00156E17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(</w:t>
            </w:r>
            <w:r w:rsidR="007570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r=0.</w:t>
            </w:r>
            <w:r w:rsidR="005360E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70</w:t>
            </w:r>
            <w:r w:rsidR="007570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, p</w:t>
            </w:r>
            <w:r w:rsidR="006F40D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&lt;</w:t>
            </w:r>
            <w:r w:rsidR="0075703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0.0</w:t>
            </w:r>
            <w:r w:rsidR="005360E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1</w:t>
            </w:r>
            <w:r w:rsidR="00F2370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)</w:t>
            </w:r>
            <w:r w:rsidR="00E74CB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</w:t>
            </w:r>
            <w:r w:rsidR="00D235CE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There were no correlations between 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Dm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and V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</w:t>
            </w:r>
            <w:r w:rsidR="00D235CE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 xml:space="preserve"> </w:t>
            </w:r>
            <w:r w:rsidR="00D235CE" w:rsidRPr="00D235CE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and these parameters.</w:t>
            </w:r>
            <w:r w:rsidR="00D235CE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 xml:space="preserve"> </w:t>
            </w:r>
            <w:r w:rsidR="00DA0E44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 xml:space="preserve">                                                                                        </w:t>
            </w:r>
            <w:r w:rsidR="00DA0E44" w:rsidRPr="00DA0E44">
              <w:rPr>
                <w:rStyle w:val="A4"/>
                <w:rFonts w:ascii="Arial" w:hAnsi="Arial" w:cs="Arial"/>
                <w:b/>
                <w:bCs/>
              </w:rPr>
              <w:t xml:space="preserve">Table 1: </w:t>
            </w:r>
            <w:r w:rsidR="00DA0E44" w:rsidRPr="00DA0E44">
              <w:rPr>
                <w:rStyle w:val="A4"/>
                <w:rFonts w:ascii="Arial" w:hAnsi="Arial" w:cs="Arial"/>
              </w:rPr>
              <w:t>Lung function results</w:t>
            </w:r>
          </w:p>
          <w:p w14:paraId="627DF129" w14:textId="0845FFC7" w:rsidR="006176D6" w:rsidRDefault="006176D6" w:rsidP="009C1987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 xml:space="preserve">                                                                            </w:t>
            </w:r>
          </w:p>
          <w:p w14:paraId="6C68AC95" w14:textId="0E33562F" w:rsidR="006D4713" w:rsidRPr="00243800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243800">
              <w:rPr>
                <w:rStyle w:val="A4"/>
                <w:b/>
                <w:bCs/>
              </w:rPr>
              <w:t xml:space="preserve">Conclusion: </w:t>
            </w:r>
          </w:p>
          <w:p w14:paraId="272B99F8" w14:textId="47431542" w:rsidR="00B1327D" w:rsidRPr="00243800" w:rsidRDefault="00BC7567" w:rsidP="004B4E3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en-AU"/>
              </w:rPr>
            </w:pPr>
            <w:r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R</w:t>
            </w:r>
            <w:r w:rsidR="00E3777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eduction in pulmonary capillary blood volume</w:t>
            </w:r>
            <w:r w:rsidR="00EB137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contributes more than </w:t>
            </w:r>
            <w:r w:rsidR="00C0707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abnormal </w:t>
            </w:r>
            <w:r w:rsidR="0071447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m</w:t>
            </w:r>
            <w:r w:rsidR="00D031C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embrane conductance</w:t>
            </w:r>
            <w:r w:rsidR="00C07076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to</w:t>
            </w:r>
            <w:r w:rsidR="00A1218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71447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the</w:t>
            </w:r>
            <w:r w:rsidR="00A12183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reduced gas diffusion</w:t>
            </w:r>
            <w:r w:rsidR="00FC779A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in </w:t>
            </w:r>
            <w:r w:rsidR="00416648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IPF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</w:t>
            </w:r>
            <w:r w:rsidR="00CC323B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Pulmonary capillary blood volume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B00B1F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is</w:t>
            </w:r>
            <w:r w:rsidR="000C0E02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related to functional indicators of disease severity </w:t>
            </w:r>
            <w:r w:rsidR="006B10C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not seen with 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Dm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D235CE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 </w:t>
            </w:r>
            <w:r w:rsidR="00D235CE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or </w:t>
            </w:r>
            <w:r w:rsidR="006B10C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DL</w:t>
            </w:r>
            <w:r w:rsidR="006B10C1" w:rsidRPr="00243800">
              <w:rPr>
                <w:rFonts w:ascii="Arial" w:eastAsiaTheme="minorHAnsi" w:hAnsi="Arial" w:cs="Arial"/>
                <w:sz w:val="22"/>
                <w:szCs w:val="22"/>
                <w:vertAlign w:val="subscript"/>
                <w:lang w:val="en-AU"/>
              </w:rPr>
              <w:t>CO</w:t>
            </w:r>
            <w:r w:rsidR="006B10C1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. This </w:t>
            </w:r>
            <w:r w:rsidR="00B1327D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in agreement with the concept of vascular involvement in </w:t>
            </w:r>
            <w:r w:rsidR="00CC323B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IPF</w:t>
            </w:r>
            <w:r w:rsidR="00416648" w:rsidRPr="00243800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>.</w:t>
            </w:r>
          </w:p>
          <w:p w14:paraId="55C89E39" w14:textId="77777777" w:rsidR="001B6E28" w:rsidRPr="00243800" w:rsidRDefault="001B6E28" w:rsidP="004B4E33">
            <w:pPr>
              <w:autoSpaceDE w:val="0"/>
              <w:autoSpaceDN w:val="0"/>
              <w:adjustRightInd w:val="0"/>
              <w:rPr>
                <w:rStyle w:val="A4"/>
                <w:rFonts w:ascii="Arial" w:eastAsiaTheme="minorHAnsi" w:hAnsi="Arial" w:cs="Arial"/>
                <w:color w:val="auto"/>
                <w:sz w:val="17"/>
                <w:szCs w:val="17"/>
                <w:lang w:val="en-AU"/>
              </w:rPr>
            </w:pPr>
          </w:p>
          <w:p w14:paraId="6C68AC99" w14:textId="7C74FCB9" w:rsidR="006D4713" w:rsidRPr="00243800" w:rsidRDefault="006D4713" w:rsidP="009C1987">
            <w:pPr>
              <w:pStyle w:val="Pa12"/>
              <w:rPr>
                <w:rStyle w:val="A4"/>
              </w:rPr>
            </w:pPr>
            <w:r w:rsidRPr="00243800">
              <w:rPr>
                <w:rStyle w:val="A4"/>
                <w:b/>
                <w:bCs/>
              </w:rPr>
              <w:t>Key Words</w:t>
            </w:r>
            <w:r w:rsidRPr="00243800">
              <w:rPr>
                <w:rStyle w:val="A4"/>
                <w:b/>
              </w:rPr>
              <w:t>:</w:t>
            </w:r>
            <w:r w:rsidRPr="00243800">
              <w:rPr>
                <w:rStyle w:val="A4"/>
              </w:rPr>
              <w:t xml:space="preserve"> </w:t>
            </w:r>
            <w:r w:rsidR="00756026" w:rsidRPr="00243800">
              <w:rPr>
                <w:rStyle w:val="A4"/>
              </w:rPr>
              <w:t>diffusing capacity, idiopathic pulmonary fibrosis</w:t>
            </w:r>
            <w:r w:rsidR="00646D3A" w:rsidRPr="00243800">
              <w:rPr>
                <w:rStyle w:val="A4"/>
              </w:rPr>
              <w:t>, 6MWT</w:t>
            </w:r>
          </w:p>
          <w:p w14:paraId="6C68AC9A" w14:textId="1C5E6CFF" w:rsidR="006D4713" w:rsidRPr="00243800" w:rsidRDefault="006D4713" w:rsidP="009C1987">
            <w:pPr>
              <w:pStyle w:val="Default"/>
              <w:rPr>
                <w:rStyle w:val="A4"/>
                <w:b/>
                <w:bCs/>
              </w:rPr>
            </w:pPr>
            <w:r w:rsidRPr="00243800">
              <w:rPr>
                <w:rStyle w:val="A4"/>
                <w:b/>
                <w:bCs/>
              </w:rPr>
              <w:t xml:space="preserve">Nomination for </w:t>
            </w:r>
            <w:r w:rsidR="00361F7E" w:rsidRPr="00243800">
              <w:rPr>
                <w:rStyle w:val="A4"/>
                <w:b/>
                <w:bCs/>
              </w:rPr>
              <w:t xml:space="preserve">New </w:t>
            </w:r>
            <w:r w:rsidRPr="00243800">
              <w:rPr>
                <w:rStyle w:val="A4"/>
                <w:b/>
                <w:bCs/>
              </w:rPr>
              <w:t>Investigator Award</w:t>
            </w:r>
            <w:r w:rsidR="00756026" w:rsidRPr="00243800">
              <w:rPr>
                <w:rStyle w:val="A4"/>
                <w:b/>
                <w:bCs/>
              </w:rPr>
              <w:t xml:space="preserve">: </w:t>
            </w:r>
            <w:r w:rsidR="00756026" w:rsidRPr="00243800">
              <w:rPr>
                <w:rStyle w:val="A4"/>
              </w:rPr>
              <w:t>No</w:t>
            </w:r>
          </w:p>
          <w:p w14:paraId="6C68ACA2" w14:textId="76E339DA" w:rsidR="006D4713" w:rsidRPr="00243800" w:rsidRDefault="006D4713" w:rsidP="00D61C51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243800">
              <w:rPr>
                <w:rStyle w:val="A4"/>
                <w:b/>
                <w:bCs/>
              </w:rPr>
              <w:t xml:space="preserve">Grant Support: </w:t>
            </w:r>
            <w:r w:rsidR="00503051" w:rsidRPr="00243800">
              <w:rPr>
                <w:rStyle w:val="A4"/>
              </w:rPr>
              <w:t>Applied for ASM Grant</w:t>
            </w:r>
            <w:r w:rsidRPr="00243800">
              <w:rPr>
                <w:sz w:val="22"/>
                <w:szCs w:val="22"/>
              </w:rPr>
              <w:br/>
            </w:r>
            <w:r w:rsidRPr="00243800">
              <w:rPr>
                <w:rStyle w:val="A4"/>
                <w:bCs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  <w:r w:rsidRPr="0024380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Pr="00243800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Pr="00243800" w:rsidRDefault="00EE3EA8">
      <w:pPr>
        <w:rPr>
          <w:rFonts w:ascii="Arial" w:hAnsi="Arial" w:cs="Arial"/>
        </w:rPr>
      </w:pPr>
    </w:p>
    <w:sectPr w:rsidR="00EE3EA8" w:rsidRPr="00243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1269"/>
    <w:rsid w:val="00006A8C"/>
    <w:rsid w:val="00044F47"/>
    <w:rsid w:val="0007420C"/>
    <w:rsid w:val="00082E8A"/>
    <w:rsid w:val="00092A49"/>
    <w:rsid w:val="000C0E02"/>
    <w:rsid w:val="000C2E7A"/>
    <w:rsid w:val="000C6676"/>
    <w:rsid w:val="000D60F0"/>
    <w:rsid w:val="000E1E7B"/>
    <w:rsid w:val="000F5CD1"/>
    <w:rsid w:val="00112C3A"/>
    <w:rsid w:val="001140F8"/>
    <w:rsid w:val="0011459B"/>
    <w:rsid w:val="0012156A"/>
    <w:rsid w:val="00156E17"/>
    <w:rsid w:val="00160718"/>
    <w:rsid w:val="0018129B"/>
    <w:rsid w:val="001842C6"/>
    <w:rsid w:val="00194BF7"/>
    <w:rsid w:val="001A122D"/>
    <w:rsid w:val="001B1B51"/>
    <w:rsid w:val="001B6123"/>
    <w:rsid w:val="001B6199"/>
    <w:rsid w:val="001B6E28"/>
    <w:rsid w:val="001C7386"/>
    <w:rsid w:val="001D1FE8"/>
    <w:rsid w:val="001D5AB4"/>
    <w:rsid w:val="001D75F7"/>
    <w:rsid w:val="00210733"/>
    <w:rsid w:val="00214E53"/>
    <w:rsid w:val="002213AA"/>
    <w:rsid w:val="0023706E"/>
    <w:rsid w:val="0024014B"/>
    <w:rsid w:val="00242AD8"/>
    <w:rsid w:val="00243800"/>
    <w:rsid w:val="002611BE"/>
    <w:rsid w:val="002951C3"/>
    <w:rsid w:val="002A7117"/>
    <w:rsid w:val="002B4988"/>
    <w:rsid w:val="002B5317"/>
    <w:rsid w:val="002C00B1"/>
    <w:rsid w:val="002E77AE"/>
    <w:rsid w:val="002F55BA"/>
    <w:rsid w:val="00323005"/>
    <w:rsid w:val="003436DF"/>
    <w:rsid w:val="00357823"/>
    <w:rsid w:val="00361F7E"/>
    <w:rsid w:val="003A5A91"/>
    <w:rsid w:val="003A6F24"/>
    <w:rsid w:val="003B66D3"/>
    <w:rsid w:val="003B7E06"/>
    <w:rsid w:val="003C4C89"/>
    <w:rsid w:val="003C4F3D"/>
    <w:rsid w:val="003E45BD"/>
    <w:rsid w:val="003F0690"/>
    <w:rsid w:val="003F089B"/>
    <w:rsid w:val="00416648"/>
    <w:rsid w:val="00433BF5"/>
    <w:rsid w:val="00436794"/>
    <w:rsid w:val="00470890"/>
    <w:rsid w:val="0048793A"/>
    <w:rsid w:val="00487EC0"/>
    <w:rsid w:val="004A4EDE"/>
    <w:rsid w:val="004B4E33"/>
    <w:rsid w:val="004C51DA"/>
    <w:rsid w:val="004E116F"/>
    <w:rsid w:val="00503051"/>
    <w:rsid w:val="00512262"/>
    <w:rsid w:val="00513005"/>
    <w:rsid w:val="00527B4B"/>
    <w:rsid w:val="005360EA"/>
    <w:rsid w:val="00545D1E"/>
    <w:rsid w:val="005461E5"/>
    <w:rsid w:val="005521FA"/>
    <w:rsid w:val="0055250D"/>
    <w:rsid w:val="00571768"/>
    <w:rsid w:val="00581A91"/>
    <w:rsid w:val="005832AC"/>
    <w:rsid w:val="0059566A"/>
    <w:rsid w:val="005A1861"/>
    <w:rsid w:val="005A2078"/>
    <w:rsid w:val="005A5BF1"/>
    <w:rsid w:val="005B3C80"/>
    <w:rsid w:val="005D01C2"/>
    <w:rsid w:val="005F3F77"/>
    <w:rsid w:val="006176D6"/>
    <w:rsid w:val="00625625"/>
    <w:rsid w:val="00631B82"/>
    <w:rsid w:val="006438E9"/>
    <w:rsid w:val="00646D3A"/>
    <w:rsid w:val="00647F2E"/>
    <w:rsid w:val="00650AB9"/>
    <w:rsid w:val="00684E22"/>
    <w:rsid w:val="00692C51"/>
    <w:rsid w:val="00693D56"/>
    <w:rsid w:val="006B10C1"/>
    <w:rsid w:val="006B3CAD"/>
    <w:rsid w:val="006B5F69"/>
    <w:rsid w:val="006D4713"/>
    <w:rsid w:val="006D7CE8"/>
    <w:rsid w:val="006E2DDC"/>
    <w:rsid w:val="006F26C1"/>
    <w:rsid w:val="006F40D1"/>
    <w:rsid w:val="00701F3B"/>
    <w:rsid w:val="007024D5"/>
    <w:rsid w:val="00707778"/>
    <w:rsid w:val="00713019"/>
    <w:rsid w:val="00714473"/>
    <w:rsid w:val="00715113"/>
    <w:rsid w:val="00733954"/>
    <w:rsid w:val="00752808"/>
    <w:rsid w:val="00756026"/>
    <w:rsid w:val="00757033"/>
    <w:rsid w:val="0076143E"/>
    <w:rsid w:val="00763FB0"/>
    <w:rsid w:val="00796DE5"/>
    <w:rsid w:val="00796FE6"/>
    <w:rsid w:val="007A7199"/>
    <w:rsid w:val="007B3B89"/>
    <w:rsid w:val="007B5B8E"/>
    <w:rsid w:val="007C1789"/>
    <w:rsid w:val="007D502D"/>
    <w:rsid w:val="007D640A"/>
    <w:rsid w:val="007F51FC"/>
    <w:rsid w:val="0080237D"/>
    <w:rsid w:val="008048E7"/>
    <w:rsid w:val="00823A71"/>
    <w:rsid w:val="00840756"/>
    <w:rsid w:val="00843702"/>
    <w:rsid w:val="00887EB1"/>
    <w:rsid w:val="0089500F"/>
    <w:rsid w:val="008A3BBC"/>
    <w:rsid w:val="008B38A0"/>
    <w:rsid w:val="008C56DE"/>
    <w:rsid w:val="008C7D58"/>
    <w:rsid w:val="008D5AFD"/>
    <w:rsid w:val="008D6D59"/>
    <w:rsid w:val="008E12BE"/>
    <w:rsid w:val="008F20D9"/>
    <w:rsid w:val="009013CA"/>
    <w:rsid w:val="00911BC6"/>
    <w:rsid w:val="00913629"/>
    <w:rsid w:val="00930520"/>
    <w:rsid w:val="00935ED8"/>
    <w:rsid w:val="009461DF"/>
    <w:rsid w:val="00960A18"/>
    <w:rsid w:val="00961F75"/>
    <w:rsid w:val="009637F8"/>
    <w:rsid w:val="009656B9"/>
    <w:rsid w:val="00974657"/>
    <w:rsid w:val="009B3E7D"/>
    <w:rsid w:val="009C1C4D"/>
    <w:rsid w:val="009C65FD"/>
    <w:rsid w:val="009D3B55"/>
    <w:rsid w:val="009E2DFD"/>
    <w:rsid w:val="009F1066"/>
    <w:rsid w:val="00A11BB7"/>
    <w:rsid w:val="00A12183"/>
    <w:rsid w:val="00A136C7"/>
    <w:rsid w:val="00A178CD"/>
    <w:rsid w:val="00A276BB"/>
    <w:rsid w:val="00A81449"/>
    <w:rsid w:val="00A978BF"/>
    <w:rsid w:val="00AA796A"/>
    <w:rsid w:val="00AB4CCE"/>
    <w:rsid w:val="00AD700C"/>
    <w:rsid w:val="00B00B1F"/>
    <w:rsid w:val="00B11767"/>
    <w:rsid w:val="00B1327D"/>
    <w:rsid w:val="00B23F9A"/>
    <w:rsid w:val="00B3217F"/>
    <w:rsid w:val="00B36C00"/>
    <w:rsid w:val="00B41C22"/>
    <w:rsid w:val="00B45E8C"/>
    <w:rsid w:val="00B6000E"/>
    <w:rsid w:val="00B94958"/>
    <w:rsid w:val="00BA2372"/>
    <w:rsid w:val="00BC7567"/>
    <w:rsid w:val="00BD1176"/>
    <w:rsid w:val="00C07076"/>
    <w:rsid w:val="00C22FA5"/>
    <w:rsid w:val="00C358A6"/>
    <w:rsid w:val="00C47EB9"/>
    <w:rsid w:val="00C84D64"/>
    <w:rsid w:val="00C91C8C"/>
    <w:rsid w:val="00CB735D"/>
    <w:rsid w:val="00CB74B1"/>
    <w:rsid w:val="00CC323B"/>
    <w:rsid w:val="00CC4619"/>
    <w:rsid w:val="00CD4100"/>
    <w:rsid w:val="00CE5D9A"/>
    <w:rsid w:val="00D02A4B"/>
    <w:rsid w:val="00D02B65"/>
    <w:rsid w:val="00D031CA"/>
    <w:rsid w:val="00D052D1"/>
    <w:rsid w:val="00D07303"/>
    <w:rsid w:val="00D235CE"/>
    <w:rsid w:val="00D263AD"/>
    <w:rsid w:val="00D3110C"/>
    <w:rsid w:val="00D375DA"/>
    <w:rsid w:val="00D472F6"/>
    <w:rsid w:val="00D52B8B"/>
    <w:rsid w:val="00D576CC"/>
    <w:rsid w:val="00D61C51"/>
    <w:rsid w:val="00D81CAA"/>
    <w:rsid w:val="00DA0E44"/>
    <w:rsid w:val="00DA2404"/>
    <w:rsid w:val="00DB3C25"/>
    <w:rsid w:val="00DB3C32"/>
    <w:rsid w:val="00DD16F1"/>
    <w:rsid w:val="00E00B8E"/>
    <w:rsid w:val="00E27BD8"/>
    <w:rsid w:val="00E37773"/>
    <w:rsid w:val="00E40A59"/>
    <w:rsid w:val="00E41AC0"/>
    <w:rsid w:val="00E7477D"/>
    <w:rsid w:val="00E74CB6"/>
    <w:rsid w:val="00E75A6A"/>
    <w:rsid w:val="00EA0A49"/>
    <w:rsid w:val="00EA204D"/>
    <w:rsid w:val="00EB1376"/>
    <w:rsid w:val="00EC62DC"/>
    <w:rsid w:val="00ED23AB"/>
    <w:rsid w:val="00EE3EA8"/>
    <w:rsid w:val="00EE41F2"/>
    <w:rsid w:val="00EE4C9C"/>
    <w:rsid w:val="00EE6ED1"/>
    <w:rsid w:val="00EF1A1B"/>
    <w:rsid w:val="00F1144E"/>
    <w:rsid w:val="00F2370E"/>
    <w:rsid w:val="00F506B4"/>
    <w:rsid w:val="00F6177D"/>
    <w:rsid w:val="00F708FA"/>
    <w:rsid w:val="00F71425"/>
    <w:rsid w:val="00F76270"/>
    <w:rsid w:val="00F86515"/>
    <w:rsid w:val="00F907FA"/>
    <w:rsid w:val="00FA7316"/>
    <w:rsid w:val="00FB3C9A"/>
    <w:rsid w:val="00FB3CE3"/>
    <w:rsid w:val="00FB72E9"/>
    <w:rsid w:val="00FC779A"/>
    <w:rsid w:val="00FF0DD6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79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3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B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BB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BB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C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Kate Dusanovski (Sydney LHD)</cp:lastModifiedBy>
  <cp:revision>61</cp:revision>
  <dcterms:created xsi:type="dcterms:W3CDTF">2023-09-26T00:24:00Z</dcterms:created>
  <dcterms:modified xsi:type="dcterms:W3CDTF">2023-10-12T00:21:00Z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