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43DBC9A" w14:textId="47410E13" w:rsidR="008E4B6E" w:rsidRDefault="00F16B61" w:rsidP="00C329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4B6E">
              <w:rPr>
                <w:rFonts w:ascii="Arial" w:hAnsi="Arial" w:cs="Arial"/>
                <w:sz w:val="22"/>
                <w:szCs w:val="22"/>
              </w:rPr>
              <w:t>HealthLit4Kids</w:t>
            </w:r>
            <w:r w:rsidR="00DB09CB">
              <w:rPr>
                <w:rFonts w:ascii="Arial" w:hAnsi="Arial" w:cs="Arial"/>
                <w:sz w:val="22"/>
                <w:szCs w:val="22"/>
              </w:rPr>
              <w:t>:</w:t>
            </w:r>
            <w:r w:rsidR="008E4B6E">
              <w:rPr>
                <w:rFonts w:ascii="Arial" w:hAnsi="Arial" w:cs="Arial"/>
                <w:sz w:val="22"/>
                <w:szCs w:val="22"/>
              </w:rPr>
              <w:t xml:space="preserve"> Building </w:t>
            </w:r>
            <w:r w:rsidR="00944C03">
              <w:rPr>
                <w:rFonts w:ascii="Arial" w:hAnsi="Arial" w:cs="Arial"/>
                <w:sz w:val="22"/>
                <w:szCs w:val="22"/>
              </w:rPr>
              <w:t>h</w:t>
            </w:r>
            <w:r w:rsidR="008E4B6E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944C03">
              <w:rPr>
                <w:rFonts w:ascii="Arial" w:hAnsi="Arial" w:cs="Arial"/>
                <w:sz w:val="22"/>
                <w:szCs w:val="22"/>
              </w:rPr>
              <w:t>l</w:t>
            </w:r>
            <w:r w:rsidR="008E4B6E">
              <w:rPr>
                <w:rFonts w:ascii="Arial" w:hAnsi="Arial" w:cs="Arial"/>
                <w:sz w:val="22"/>
                <w:szCs w:val="22"/>
              </w:rPr>
              <w:t>iteracy from the school</w:t>
            </w:r>
            <w:r w:rsidR="004433FF">
              <w:rPr>
                <w:rFonts w:ascii="Arial" w:hAnsi="Arial" w:cs="Arial"/>
                <w:sz w:val="22"/>
                <w:szCs w:val="22"/>
              </w:rPr>
              <w:t>yard</w:t>
            </w:r>
            <w:r w:rsidR="008E4B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4F" w14:textId="6A2E7B51" w:rsidR="008E4B6E" w:rsidRPr="00242808" w:rsidRDefault="008E4B6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41196EF" w14:textId="26C28EB4" w:rsidR="008E4B6E" w:rsidRDefault="008E4B6E" w:rsidP="00BF4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Develop </w:t>
            </w:r>
            <w:r w:rsidR="00BF4B39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shared understanding of health literacy</w:t>
            </w:r>
            <w:r w:rsidR="00BF4B3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CECB9A" w14:textId="6543766A" w:rsidR="00BF4B39" w:rsidRDefault="00BF4B39" w:rsidP="00BF4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Consider the impact of health literacy on health, education and health equity.</w:t>
            </w:r>
          </w:p>
          <w:p w14:paraId="2C048BE0" w14:textId="10E9524E" w:rsidR="008E4B6E" w:rsidRDefault="008E4B6E" w:rsidP="00BF4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BF4B39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r>
              <w:rPr>
                <w:rFonts w:ascii="Arial" w:hAnsi="Arial" w:cs="Arial"/>
                <w:sz w:val="22"/>
                <w:szCs w:val="22"/>
              </w:rPr>
              <w:t>a Health Literate school</w:t>
            </w:r>
            <w:r w:rsidR="00BF4B3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A4DE255" w14:textId="3050BE14" w:rsidR="00DA7A71" w:rsidRDefault="008E4B6E" w:rsidP="00BF4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Explore and classify </w:t>
            </w:r>
            <w:r w:rsidR="007917A5">
              <w:rPr>
                <w:rFonts w:ascii="Arial" w:hAnsi="Arial" w:cs="Arial"/>
                <w:sz w:val="22"/>
                <w:szCs w:val="22"/>
              </w:rPr>
              <w:t>HealthLi</w:t>
            </w:r>
            <w:r>
              <w:rPr>
                <w:rFonts w:ascii="Arial" w:hAnsi="Arial" w:cs="Arial"/>
                <w:sz w:val="22"/>
                <w:szCs w:val="22"/>
              </w:rPr>
              <w:t xml:space="preserve">t4Kids Artefacts using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Nutbeam’s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3FF">
              <w:rPr>
                <w:rFonts w:ascii="Arial" w:hAnsi="Arial" w:cs="Arial"/>
                <w:sz w:val="22"/>
                <w:szCs w:val="22"/>
              </w:rPr>
              <w:t xml:space="preserve">Health Literacy </w:t>
            </w:r>
            <w:r>
              <w:rPr>
                <w:rFonts w:ascii="Arial" w:hAnsi="Arial" w:cs="Arial"/>
                <w:sz w:val="22"/>
                <w:szCs w:val="22"/>
              </w:rPr>
              <w:t>Framework</w:t>
            </w:r>
            <w:r w:rsidR="00BF4B39">
              <w:rPr>
                <w:rFonts w:ascii="Arial" w:hAnsi="Arial" w:cs="Arial"/>
                <w:sz w:val="22"/>
                <w:szCs w:val="22"/>
              </w:rPr>
              <w:t xml:space="preserve"> (Functional, Interactive and Critical Health Literacy</w:t>
            </w:r>
            <w:r w:rsidR="004433FF">
              <w:rPr>
                <w:rFonts w:ascii="Arial" w:hAnsi="Arial" w:cs="Arial"/>
                <w:sz w:val="22"/>
                <w:szCs w:val="22"/>
              </w:rPr>
              <w:t>, 2000</w:t>
            </w:r>
            <w:r w:rsidR="00BF4B3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A4DE256" w14:textId="7A6BBAAF" w:rsidR="00DA7A71" w:rsidRDefault="008E4B6E" w:rsidP="00944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Identify barriers and enablers to </w:t>
            </w:r>
            <w:r w:rsidR="00BF4B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transferability of HealthLi</w:t>
            </w:r>
            <w:r w:rsidR="007917A5">
              <w:rPr>
                <w:rFonts w:ascii="Arial" w:hAnsi="Arial" w:cs="Arial"/>
                <w:sz w:val="22"/>
                <w:szCs w:val="22"/>
              </w:rPr>
              <w:t>t4Kids P</w:t>
            </w:r>
            <w:r>
              <w:rPr>
                <w:rFonts w:ascii="Arial" w:hAnsi="Arial" w:cs="Arial"/>
                <w:sz w:val="22"/>
                <w:szCs w:val="22"/>
              </w:rPr>
              <w:t>rogram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B6E2FFE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2D3411CB" w14:textId="7B28019F" w:rsidR="0033517E" w:rsidRPr="003B5F79" w:rsidRDefault="0033517E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5F79">
              <w:rPr>
                <w:rFonts w:ascii="Arial" w:hAnsi="Arial" w:cs="Arial"/>
                <w:bCs/>
                <w:sz w:val="22"/>
                <w:szCs w:val="22"/>
              </w:rPr>
              <w:t>Interspersed with didactic presenta</w:t>
            </w:r>
            <w:bookmarkStart w:id="0" w:name="_GoBack"/>
            <w:bookmarkEnd w:id="0"/>
            <w:r w:rsidRPr="003B5F79">
              <w:rPr>
                <w:rFonts w:ascii="Arial" w:hAnsi="Arial" w:cs="Arial"/>
                <w:bCs/>
                <w:sz w:val="22"/>
                <w:szCs w:val="22"/>
              </w:rPr>
              <w:t>tion of information, the workshop participants will engage in the following activities:</w:t>
            </w:r>
          </w:p>
          <w:p w14:paraId="43163D63" w14:textId="53169E46" w:rsidR="00BF4B39" w:rsidRDefault="008E4B6E" w:rsidP="00BF4B3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1. </w:t>
            </w:r>
            <w:r w:rsidR="007A72D2">
              <w:rPr>
                <w:rFonts w:ascii="Arial" w:hAnsi="Arial" w:cs="Arial"/>
                <w:bCs/>
                <w:sz w:val="22"/>
                <w:szCs w:val="22"/>
              </w:rPr>
              <w:t>WARMUP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 (Think-Pair-Share)</w:t>
            </w:r>
            <w:r w:rsidR="007A72D2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Workshop facilitators </w:t>
            </w:r>
            <w:r w:rsidR="00BF4B39">
              <w:rPr>
                <w:rFonts w:ascii="Arial" w:hAnsi="Arial" w:cs="Arial"/>
                <w:bCs/>
                <w:sz w:val="22"/>
                <w:szCs w:val="22"/>
              </w:rPr>
              <w:t xml:space="preserve">invite participants to explore their own definitions of health literacy </w:t>
            </w:r>
            <w:r w:rsidR="007A72D2">
              <w:rPr>
                <w:rFonts w:ascii="Arial" w:hAnsi="Arial" w:cs="Arial"/>
                <w:bCs/>
                <w:sz w:val="22"/>
                <w:szCs w:val="22"/>
              </w:rPr>
              <w:t>and record this on sticky notes. I</w:t>
            </w:r>
            <w:r w:rsidR="00BF4B39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 pairs or</w:t>
            </w:r>
            <w:r w:rsidR="00BF4B39">
              <w:rPr>
                <w:rFonts w:ascii="Arial" w:hAnsi="Arial" w:cs="Arial"/>
                <w:bCs/>
                <w:sz w:val="22"/>
                <w:szCs w:val="22"/>
              </w:rPr>
              <w:t xml:space="preserve"> small </w:t>
            </w:r>
            <w:proofErr w:type="gramStart"/>
            <w:r w:rsidR="00BF4B39">
              <w:rPr>
                <w:rFonts w:ascii="Arial" w:hAnsi="Arial" w:cs="Arial"/>
                <w:bCs/>
                <w:sz w:val="22"/>
                <w:szCs w:val="22"/>
              </w:rPr>
              <w:t>groups</w:t>
            </w:r>
            <w:proofErr w:type="gramEnd"/>
            <w:r w:rsidR="007A72D2">
              <w:rPr>
                <w:rFonts w:ascii="Arial" w:hAnsi="Arial" w:cs="Arial"/>
                <w:bCs/>
                <w:sz w:val="22"/>
                <w:szCs w:val="22"/>
              </w:rPr>
              <w:t xml:space="preserve"> the definitions are shared and discussed</w:t>
            </w:r>
            <w:r w:rsidR="00BF4B39">
              <w:rPr>
                <w:rFonts w:ascii="Arial" w:hAnsi="Arial" w:cs="Arial"/>
                <w:bCs/>
                <w:sz w:val="22"/>
                <w:szCs w:val="22"/>
              </w:rPr>
              <w:t>. Small groups then share their definition with all participants.</w:t>
            </w:r>
          </w:p>
          <w:p w14:paraId="7C786060" w14:textId="45BCF7B3" w:rsidR="00BF4B39" w:rsidRDefault="00BF4B39" w:rsidP="00BF4B3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 BINGO</w:t>
            </w:r>
            <w:r w:rsidR="00972927">
              <w:rPr>
                <w:rFonts w:ascii="Arial" w:hAnsi="Arial" w:cs="Arial"/>
                <w:bCs/>
                <w:sz w:val="22"/>
                <w:szCs w:val="22"/>
              </w:rPr>
              <w:t xml:space="preserve"> (team work)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>: Five HealthLit4Kids primary schools in Tasmania have brainstormed and defined their notion of a health literate school. In small groups, the participants will be provided with these definitions and invited to use them to identify 5 commonalities and 5 differences across the 5 schools. The first group to identify 5 commonalities and 5 differences wins!  The groups will then combine the 5 definitions.</w:t>
            </w:r>
          </w:p>
          <w:p w14:paraId="087C18D1" w14:textId="6ACB5E96" w:rsidR="003B5F79" w:rsidRDefault="00BF4B39" w:rsidP="00BF4B3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="00972927">
              <w:rPr>
                <w:rFonts w:ascii="Arial" w:hAnsi="Arial" w:cs="Arial"/>
                <w:bCs/>
                <w:sz w:val="22"/>
                <w:szCs w:val="22"/>
              </w:rPr>
              <w:t xml:space="preserve"> Small Group Learning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7A72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Each small group will be assigned an area of the Australian </w:t>
            </w:r>
            <w:r w:rsidR="00972927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urriculum for Health and Physical Education and asked to classify the </w:t>
            </w:r>
            <w:r w:rsidR="003B5F79">
              <w:rPr>
                <w:rFonts w:ascii="Arial" w:hAnsi="Arial" w:cs="Arial"/>
                <w:bCs/>
                <w:sz w:val="22"/>
                <w:szCs w:val="22"/>
              </w:rPr>
              <w:t xml:space="preserve">HealthLit4Kids </w:t>
            </w:r>
            <w:r w:rsidR="0033517E">
              <w:rPr>
                <w:rFonts w:ascii="Arial" w:hAnsi="Arial" w:cs="Arial"/>
                <w:bCs/>
                <w:sz w:val="22"/>
                <w:szCs w:val="22"/>
              </w:rPr>
              <w:t xml:space="preserve">artefacts </w:t>
            </w:r>
            <w:r w:rsidR="003B5F79">
              <w:rPr>
                <w:rFonts w:ascii="Arial" w:hAnsi="Arial" w:cs="Arial"/>
                <w:bCs/>
                <w:sz w:val="22"/>
                <w:szCs w:val="22"/>
              </w:rPr>
              <w:t xml:space="preserve">within each area according to </w:t>
            </w:r>
            <w:proofErr w:type="spellStart"/>
            <w:r w:rsidR="003B5F79">
              <w:rPr>
                <w:rFonts w:ascii="Arial" w:hAnsi="Arial" w:cs="Arial"/>
                <w:bCs/>
                <w:sz w:val="22"/>
                <w:szCs w:val="22"/>
              </w:rPr>
              <w:t>Nutbeam’s</w:t>
            </w:r>
            <w:proofErr w:type="spellEnd"/>
            <w:r w:rsidR="003B5F79">
              <w:rPr>
                <w:rFonts w:ascii="Arial" w:hAnsi="Arial" w:cs="Arial"/>
                <w:bCs/>
                <w:sz w:val="22"/>
                <w:szCs w:val="22"/>
              </w:rPr>
              <w:t xml:space="preserve"> (2000) framework.</w:t>
            </w:r>
          </w:p>
          <w:p w14:paraId="5A4DE25A" w14:textId="365D3356" w:rsidR="00DA7A71" w:rsidRPr="00944C03" w:rsidRDefault="003B5F79" w:rsidP="00944C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972927">
              <w:rPr>
                <w:rFonts w:ascii="Arial" w:hAnsi="Arial" w:cs="Arial"/>
                <w:bCs/>
                <w:sz w:val="22"/>
                <w:szCs w:val="22"/>
              </w:rPr>
              <w:t>Facilitated Discussion or Debate: The participants will be divided into two teams to debate the following statement: “HealthLit4Kids can be readily incorporated into our primary school”. Each team will prepare either an affirmative or negative argument for a facilitated debate.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B3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200E0468" w14:textId="600C5E74" w:rsidR="00972927" w:rsidRDefault="00972927" w:rsidP="00944C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Workshop participants will learn:</w:t>
            </w:r>
          </w:p>
          <w:p w14:paraId="671714DA" w14:textId="77777777" w:rsidR="00D876CC" w:rsidRPr="00D876CC" w:rsidRDefault="00D876CC" w:rsidP="00D876CC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>Health literacy development in childhood can lead to better health outcomes and reduce the risk of non-communicable disease</w:t>
            </w:r>
          </w:p>
          <w:p w14:paraId="138DBE23" w14:textId="77777777" w:rsidR="00972927" w:rsidRDefault="00972927" w:rsidP="00D87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159B78" w14:textId="40CA915F" w:rsidR="00972927" w:rsidRPr="00D876CC" w:rsidRDefault="00972927" w:rsidP="00D876CC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>S</w:t>
            </w:r>
            <w:r w:rsidR="008E4B6E"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chools play a key role in breaking the cycle of health inequalities by promoting health literacy through </w:t>
            </w:r>
            <w:proofErr w:type="gramStart"/>
            <w:r w:rsidR="008E4B6E"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education </w:t>
            </w:r>
            <w:r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that</w:t>
            </w:r>
            <w:proofErr w:type="gramEnd"/>
            <w:r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provides </w:t>
            </w:r>
            <w:r w:rsidR="008E4B6E"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>students with the literacy skills to understand health information, solve health problems and make critical health decisions</w:t>
            </w:r>
          </w:p>
          <w:p w14:paraId="4DA83B44" w14:textId="77777777" w:rsidR="00972927" w:rsidRDefault="00972927" w:rsidP="00D876CC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14:paraId="6AE417F6" w14:textId="5E6108B2" w:rsidR="00D876CC" w:rsidRDefault="00D876CC" w:rsidP="00D876CC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876CC">
              <w:rPr>
                <w:rFonts w:asciiTheme="minorBidi" w:hAnsiTheme="minorBidi" w:cstheme="minorBidi"/>
                <w:bCs/>
                <w:sz w:val="22"/>
                <w:szCs w:val="22"/>
              </w:rPr>
              <w:t>How HealthLit4kids can be transferred into other school settings.</w:t>
            </w:r>
          </w:p>
          <w:p w14:paraId="4B978A74" w14:textId="66C77903" w:rsidR="00944C03" w:rsidRDefault="00944C03" w:rsidP="00944C0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14:paraId="5A4DE263" w14:textId="038FFEC1" w:rsidR="00944C03" w:rsidRPr="00944C03" w:rsidRDefault="00944C03" w:rsidP="004554E4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14:paraId="44418936" w14:textId="2ECB80A5" w:rsidR="007A72D2" w:rsidRDefault="007A72D2" w:rsidP="007A72D2"/>
    <w:sectPr w:rsidR="007A72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E76C8"/>
    <w:multiLevelType w:val="hybridMultilevel"/>
    <w:tmpl w:val="6C825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3517E"/>
    <w:rsid w:val="00363AF7"/>
    <w:rsid w:val="00377867"/>
    <w:rsid w:val="003A6236"/>
    <w:rsid w:val="003B15A7"/>
    <w:rsid w:val="003B5F79"/>
    <w:rsid w:val="003F596D"/>
    <w:rsid w:val="00423811"/>
    <w:rsid w:val="004433FF"/>
    <w:rsid w:val="004554E4"/>
    <w:rsid w:val="0046722B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917A5"/>
    <w:rsid w:val="007A2A9C"/>
    <w:rsid w:val="007A72D2"/>
    <w:rsid w:val="007B0C37"/>
    <w:rsid w:val="007E2865"/>
    <w:rsid w:val="0082392D"/>
    <w:rsid w:val="008874BF"/>
    <w:rsid w:val="008C05AC"/>
    <w:rsid w:val="008E4B6E"/>
    <w:rsid w:val="00932377"/>
    <w:rsid w:val="00944C03"/>
    <w:rsid w:val="00972927"/>
    <w:rsid w:val="0099319C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BF4B39"/>
    <w:rsid w:val="00C211D2"/>
    <w:rsid w:val="00C329F9"/>
    <w:rsid w:val="00C73E89"/>
    <w:rsid w:val="00C84789"/>
    <w:rsid w:val="00CA0DE6"/>
    <w:rsid w:val="00CB2597"/>
    <w:rsid w:val="00CC5CF2"/>
    <w:rsid w:val="00CD0335"/>
    <w:rsid w:val="00CE496D"/>
    <w:rsid w:val="00CE5D57"/>
    <w:rsid w:val="00D011E6"/>
    <w:rsid w:val="00D71EFE"/>
    <w:rsid w:val="00D876CC"/>
    <w:rsid w:val="00DA45EE"/>
    <w:rsid w:val="00DA7A71"/>
    <w:rsid w:val="00DB09CB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DC658597-4577-41E0-9606-586497C6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3B5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5F79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729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292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927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876CC"/>
    <w:pPr>
      <w:ind w:left="720"/>
      <w:contextualSpacing/>
    </w:pPr>
  </w:style>
  <w:style w:type="character" w:styleId="Hyperlink">
    <w:name w:val="Hyperlink"/>
    <w:basedOn w:val="DefaultParagraphFont"/>
    <w:unhideWhenUsed/>
    <w:rsid w:val="00944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6911e96c-4cc4-42d5-8e43-f93924cf6a05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8539B8-2ECC-4965-9E6C-5F84DE72A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2034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2018-09-01T02:33:00Z</dcterms:created>
  <dcterms:modified xsi:type="dcterms:W3CDTF">2018-09-01T02:33:00Z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