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0B24B8" w14:paraId="5C38377B" w14:textId="77777777" w:rsidTr="000A28E2">
        <w:trPr>
          <w:jc w:val="center"/>
        </w:trPr>
        <w:tc>
          <w:tcPr>
            <w:tcW w:w="8640" w:type="dxa"/>
            <w:shd w:val="clear" w:color="auto" w:fill="auto"/>
          </w:tcPr>
          <w:p w14:paraId="5C44F357" w14:textId="738AEAD8" w:rsidR="001564A4" w:rsidRPr="000B24B8" w:rsidRDefault="005C2CE8" w:rsidP="000B24B8">
            <w:pPr>
              <w:spacing w:before="120" w:after="120"/>
              <w:rPr>
                <w:rFonts w:ascii="Arial" w:hAnsi="Arial" w:cs="Arial"/>
                <w:b/>
                <w:sz w:val="22"/>
                <w:szCs w:val="22"/>
                <w:lang w:val="en-US" w:eastAsia="zh-CN"/>
              </w:rPr>
            </w:pPr>
            <w:r w:rsidRPr="000B24B8">
              <w:rPr>
                <w:rFonts w:ascii="Arial" w:hAnsi="Arial" w:cs="Arial"/>
                <w:b/>
                <w:sz w:val="22"/>
                <w:szCs w:val="22"/>
                <w:lang w:val="en-US" w:eastAsia="en-GB"/>
              </w:rPr>
              <w:t>Baseline Characteristics and Oral Corticosteroid Reduction in Severe Asthma</w:t>
            </w:r>
          </w:p>
        </w:tc>
      </w:tr>
      <w:tr w:rsidR="001564A4" w:rsidRPr="000B24B8" w14:paraId="0E2E035C" w14:textId="77777777" w:rsidTr="000B24B8">
        <w:trPr>
          <w:trHeight w:val="905"/>
          <w:jc w:val="center"/>
        </w:trPr>
        <w:tc>
          <w:tcPr>
            <w:tcW w:w="8640" w:type="dxa"/>
            <w:shd w:val="clear" w:color="auto" w:fill="auto"/>
          </w:tcPr>
          <w:p w14:paraId="73B55295" w14:textId="4D52BD9B" w:rsidR="001564A4" w:rsidRPr="001D63FE" w:rsidRDefault="001D63FE" w:rsidP="000B24B8">
            <w:pPr>
              <w:spacing w:before="120" w:after="120"/>
              <w:rPr>
                <w:rFonts w:ascii="Arial" w:hAnsi="Arial" w:cs="Arial"/>
                <w:sz w:val="22"/>
                <w:szCs w:val="22"/>
                <w:lang w:val="en-US" w:eastAsia="en-GB"/>
              </w:rPr>
            </w:pPr>
            <w:r w:rsidRPr="000B24B8">
              <w:rPr>
                <w:rFonts w:ascii="Arial" w:hAnsi="Arial" w:cs="Arial"/>
                <w:sz w:val="22"/>
                <w:szCs w:val="22"/>
                <w:lang w:val="en-US" w:eastAsia="en-GB"/>
              </w:rPr>
              <w:t>Jana Moody</w:t>
            </w:r>
            <w:r>
              <w:rPr>
                <w:rFonts w:ascii="Arial" w:hAnsi="Arial" w:cs="Arial"/>
                <w:sz w:val="22"/>
                <w:szCs w:val="22"/>
                <w:vertAlign w:val="superscript"/>
                <w:lang w:val="en-US" w:eastAsia="en-GB"/>
              </w:rPr>
              <w:t>1</w:t>
            </w:r>
            <w:r w:rsidRPr="000B24B8">
              <w:rPr>
                <w:rFonts w:ascii="Arial" w:hAnsi="Arial" w:cs="Arial"/>
                <w:sz w:val="22"/>
                <w:szCs w:val="22"/>
                <w:lang w:val="en-US" w:eastAsia="en-GB"/>
              </w:rPr>
              <w:t>*,</w:t>
            </w:r>
            <w:r>
              <w:rPr>
                <w:rFonts w:ascii="Arial" w:hAnsi="Arial" w:cs="Arial"/>
                <w:sz w:val="22"/>
                <w:szCs w:val="22"/>
                <w:lang w:val="en-US" w:eastAsia="en-GB"/>
              </w:rPr>
              <w:t xml:space="preserve"> </w:t>
            </w:r>
            <w:r w:rsidR="005C2CE8" w:rsidRPr="000B24B8">
              <w:rPr>
                <w:rFonts w:ascii="Arial" w:hAnsi="Arial" w:cs="Arial"/>
                <w:sz w:val="22"/>
                <w:szCs w:val="22"/>
                <w:lang w:val="en-US" w:eastAsia="en-GB"/>
              </w:rPr>
              <w:t>Joy Lee</w:t>
            </w:r>
            <w:r>
              <w:rPr>
                <w:rFonts w:ascii="Arial" w:hAnsi="Arial" w:cs="Arial"/>
                <w:sz w:val="22"/>
                <w:szCs w:val="22"/>
                <w:vertAlign w:val="superscript"/>
                <w:lang w:val="en-US" w:eastAsia="en-GB"/>
              </w:rPr>
              <w:t>2</w:t>
            </w:r>
            <w:r w:rsidR="005C2CE8" w:rsidRPr="000B24B8">
              <w:rPr>
                <w:rFonts w:ascii="Arial" w:hAnsi="Arial" w:cs="Arial"/>
                <w:sz w:val="22"/>
                <w:szCs w:val="22"/>
                <w:vertAlign w:val="superscript"/>
                <w:lang w:val="en-US" w:eastAsia="en-GB"/>
              </w:rPr>
              <w:t>,</w:t>
            </w:r>
            <w:r>
              <w:rPr>
                <w:rFonts w:ascii="Arial" w:hAnsi="Arial" w:cs="Arial"/>
                <w:sz w:val="22"/>
                <w:szCs w:val="22"/>
                <w:vertAlign w:val="superscript"/>
                <w:lang w:val="en-US" w:eastAsia="en-GB"/>
              </w:rPr>
              <w:t>3</w:t>
            </w:r>
            <w:r w:rsidR="005C2CE8" w:rsidRPr="000B24B8">
              <w:rPr>
                <w:rFonts w:ascii="Arial" w:hAnsi="Arial" w:cs="Arial"/>
                <w:sz w:val="22"/>
                <w:szCs w:val="22"/>
                <w:lang w:val="en-US" w:eastAsia="en-GB"/>
              </w:rPr>
              <w:t>*, Christian Domingo</w:t>
            </w:r>
            <w:r>
              <w:rPr>
                <w:rFonts w:ascii="Arial" w:hAnsi="Arial" w:cs="Arial"/>
                <w:sz w:val="22"/>
                <w:szCs w:val="22"/>
                <w:vertAlign w:val="superscript"/>
                <w:lang w:val="en-US" w:eastAsia="en-GB"/>
              </w:rPr>
              <w:t>4</w:t>
            </w:r>
            <w:r w:rsidR="005C2CE8" w:rsidRPr="000B24B8">
              <w:rPr>
                <w:rFonts w:ascii="Arial" w:hAnsi="Arial" w:cs="Arial"/>
                <w:sz w:val="22"/>
                <w:szCs w:val="22"/>
                <w:lang w:val="en-US" w:eastAsia="en-GB"/>
              </w:rPr>
              <w:t>, Nicola A Hanania</w:t>
            </w:r>
            <w:r>
              <w:rPr>
                <w:rFonts w:ascii="Arial" w:hAnsi="Arial" w:cs="Arial"/>
                <w:sz w:val="22"/>
                <w:szCs w:val="22"/>
                <w:vertAlign w:val="superscript"/>
                <w:lang w:val="en-US" w:eastAsia="en-GB"/>
              </w:rPr>
              <w:t>5</w:t>
            </w:r>
            <w:r w:rsidR="005C2CE8" w:rsidRPr="000B24B8">
              <w:rPr>
                <w:rFonts w:ascii="Arial" w:hAnsi="Arial" w:cs="Arial"/>
                <w:sz w:val="22"/>
                <w:szCs w:val="22"/>
                <w:lang w:val="en-US" w:eastAsia="en-GB"/>
              </w:rPr>
              <w:t>, G Walter Canonica</w:t>
            </w:r>
            <w:r>
              <w:rPr>
                <w:rFonts w:ascii="Arial" w:hAnsi="Arial" w:cs="Arial"/>
                <w:sz w:val="22"/>
                <w:szCs w:val="22"/>
                <w:vertAlign w:val="superscript"/>
                <w:lang w:val="en-US" w:eastAsia="en-GB"/>
              </w:rPr>
              <w:t>6</w:t>
            </w:r>
            <w:r w:rsidR="005C2CE8" w:rsidRPr="000B24B8">
              <w:rPr>
                <w:rFonts w:ascii="Arial" w:hAnsi="Arial" w:cs="Arial"/>
                <w:sz w:val="22"/>
                <w:szCs w:val="22"/>
                <w:lang w:val="en-US" w:eastAsia="en-GB"/>
              </w:rPr>
              <w:t>, David MG Halpin</w:t>
            </w:r>
            <w:r>
              <w:rPr>
                <w:rFonts w:ascii="Arial" w:hAnsi="Arial" w:cs="Arial"/>
                <w:sz w:val="22"/>
                <w:szCs w:val="22"/>
                <w:vertAlign w:val="superscript"/>
                <w:lang w:val="en-US" w:eastAsia="en-GB"/>
              </w:rPr>
              <w:t>7</w:t>
            </w:r>
            <w:r w:rsidR="005C2CE8" w:rsidRPr="000B24B8">
              <w:rPr>
                <w:rFonts w:ascii="Arial" w:hAnsi="Arial" w:cs="Arial"/>
                <w:sz w:val="22"/>
                <w:szCs w:val="22"/>
                <w:lang w:val="en-US" w:eastAsia="en-GB"/>
              </w:rPr>
              <w:t>, Njira L Lugogo</w:t>
            </w:r>
            <w:r>
              <w:rPr>
                <w:rFonts w:ascii="Arial" w:hAnsi="Arial" w:cs="Arial"/>
                <w:sz w:val="22"/>
                <w:szCs w:val="22"/>
                <w:vertAlign w:val="superscript"/>
                <w:lang w:val="en-US" w:eastAsia="en-GB"/>
              </w:rPr>
              <w:t>8</w:t>
            </w:r>
            <w:r w:rsidR="005C2CE8" w:rsidRPr="000B24B8">
              <w:rPr>
                <w:rFonts w:ascii="Arial" w:hAnsi="Arial" w:cs="Arial"/>
                <w:sz w:val="22"/>
                <w:szCs w:val="22"/>
                <w:lang w:val="en-US" w:eastAsia="en-GB"/>
              </w:rPr>
              <w:t>, Chin Kook Rhee</w:t>
            </w:r>
            <w:r>
              <w:rPr>
                <w:rFonts w:ascii="Arial" w:hAnsi="Arial" w:cs="Arial"/>
                <w:sz w:val="22"/>
                <w:szCs w:val="22"/>
                <w:vertAlign w:val="superscript"/>
                <w:lang w:val="en-US" w:eastAsia="en-GB"/>
              </w:rPr>
              <w:t>9</w:t>
            </w:r>
            <w:r w:rsidR="005C2CE8" w:rsidRPr="000B24B8">
              <w:rPr>
                <w:rFonts w:ascii="Arial" w:hAnsi="Arial" w:cs="Arial"/>
                <w:sz w:val="22"/>
                <w:szCs w:val="22"/>
                <w:lang w:val="en-US" w:eastAsia="en-GB"/>
              </w:rPr>
              <w:t>, Scott Nash</w:t>
            </w:r>
            <w:r>
              <w:rPr>
                <w:rFonts w:ascii="Arial" w:hAnsi="Arial" w:cs="Arial"/>
                <w:sz w:val="22"/>
                <w:szCs w:val="22"/>
                <w:vertAlign w:val="superscript"/>
                <w:lang w:val="en-US" w:eastAsia="en-GB"/>
              </w:rPr>
              <w:t>10</w:t>
            </w:r>
            <w:r w:rsidR="005C2CE8" w:rsidRPr="000B24B8">
              <w:rPr>
                <w:rFonts w:ascii="Arial" w:hAnsi="Arial" w:cs="Arial"/>
                <w:sz w:val="22"/>
                <w:szCs w:val="22"/>
                <w:lang w:val="en-US" w:eastAsia="en-GB"/>
              </w:rPr>
              <w:t>, Nami Pandit-Abid</w:t>
            </w:r>
            <w:r w:rsidR="005C2CE8" w:rsidRPr="000B24B8">
              <w:rPr>
                <w:rFonts w:ascii="Arial" w:hAnsi="Arial" w:cs="Arial"/>
                <w:sz w:val="22"/>
                <w:szCs w:val="22"/>
                <w:vertAlign w:val="superscript"/>
                <w:lang w:val="en-US" w:eastAsia="en-GB"/>
              </w:rPr>
              <w:t>11</w:t>
            </w:r>
          </w:p>
        </w:tc>
      </w:tr>
      <w:tr w:rsidR="001564A4" w:rsidRPr="000B24B8" w14:paraId="385A19D9" w14:textId="77777777" w:rsidTr="000B24B8">
        <w:trPr>
          <w:trHeight w:val="4292"/>
          <w:jc w:val="center"/>
        </w:trPr>
        <w:tc>
          <w:tcPr>
            <w:tcW w:w="8640" w:type="dxa"/>
            <w:shd w:val="clear" w:color="auto" w:fill="auto"/>
          </w:tcPr>
          <w:p w14:paraId="45ED36BF" w14:textId="51FE415D" w:rsidR="005C2CE8" w:rsidRPr="000B24B8" w:rsidRDefault="001D63FE" w:rsidP="001D63FE">
            <w:pPr>
              <w:spacing w:after="120"/>
              <w:rPr>
                <w:rFonts w:ascii="Arial" w:hAnsi="Arial" w:cs="Arial"/>
                <w:i/>
                <w:sz w:val="22"/>
                <w:szCs w:val="22"/>
                <w:lang w:val="en-US" w:eastAsia="en-GB"/>
              </w:rPr>
            </w:pPr>
            <w:r w:rsidRPr="000B24B8">
              <w:rPr>
                <w:rFonts w:ascii="Arial" w:hAnsi="Arial" w:cs="Arial"/>
                <w:i/>
                <w:sz w:val="22"/>
                <w:szCs w:val="22"/>
                <w:vertAlign w:val="superscript"/>
                <w:lang w:val="en-US" w:eastAsia="en-GB"/>
              </w:rPr>
              <w:t>1</w:t>
            </w:r>
            <w:r w:rsidRPr="000B24B8">
              <w:rPr>
                <w:rFonts w:ascii="Arial" w:hAnsi="Arial" w:cs="Arial"/>
                <w:i/>
                <w:sz w:val="22"/>
                <w:szCs w:val="22"/>
                <w:lang w:val="en-US" w:eastAsia="en-GB"/>
              </w:rPr>
              <w:t>Sanofi, New South Wales, Australia</w:t>
            </w:r>
            <w:r>
              <w:rPr>
                <w:rFonts w:ascii="Arial" w:hAnsi="Arial" w:cs="Arial"/>
                <w:i/>
                <w:sz w:val="22"/>
                <w:szCs w:val="22"/>
                <w:lang w:val="en-US" w:eastAsia="en-GB"/>
              </w:rPr>
              <w:br/>
            </w:r>
            <w:r>
              <w:rPr>
                <w:rFonts w:ascii="Arial" w:hAnsi="Arial" w:cs="Arial"/>
                <w:i/>
                <w:sz w:val="22"/>
                <w:szCs w:val="22"/>
                <w:vertAlign w:val="superscript"/>
                <w:lang w:val="en-US" w:eastAsia="en-GB"/>
              </w:rPr>
              <w:t>2</w:t>
            </w:r>
            <w:r w:rsidR="005C2CE8" w:rsidRPr="000B24B8">
              <w:rPr>
                <w:rFonts w:ascii="Arial" w:hAnsi="Arial" w:cs="Arial"/>
                <w:i/>
                <w:sz w:val="22"/>
                <w:szCs w:val="22"/>
                <w:lang w:val="en-US" w:eastAsia="en-GB"/>
              </w:rPr>
              <w:t>Allergy, Asthma and Clinical Immunology and Respiratory medicine, Alfred Health, Melbourne, Victoria, Australia</w:t>
            </w:r>
            <w:r>
              <w:rPr>
                <w:rFonts w:ascii="Arial" w:hAnsi="Arial" w:cs="Arial"/>
                <w:i/>
                <w:sz w:val="22"/>
                <w:szCs w:val="22"/>
                <w:lang w:val="en-US" w:eastAsia="en-GB"/>
              </w:rPr>
              <w:br/>
            </w:r>
            <w:r>
              <w:rPr>
                <w:rFonts w:ascii="Arial" w:hAnsi="Arial" w:cs="Arial"/>
                <w:i/>
                <w:sz w:val="22"/>
                <w:szCs w:val="22"/>
                <w:vertAlign w:val="superscript"/>
                <w:lang w:val="en-US" w:eastAsia="en-GB"/>
              </w:rPr>
              <w:t>3</w:t>
            </w:r>
            <w:r w:rsidR="005C2CE8" w:rsidRPr="000B24B8">
              <w:rPr>
                <w:rFonts w:ascii="Arial" w:hAnsi="Arial" w:cs="Arial"/>
                <w:i/>
                <w:sz w:val="22"/>
                <w:szCs w:val="22"/>
                <w:lang w:val="en-US" w:eastAsia="en-GB"/>
              </w:rPr>
              <w:t>School of Public Health and Preventive Medicine, Monash University, Melbourne, Victoria, Australia</w:t>
            </w:r>
            <w:r w:rsidR="000B24B8" w:rsidRPr="000B24B8">
              <w:rPr>
                <w:rFonts w:ascii="Arial" w:hAnsi="Arial" w:cs="Arial"/>
                <w:i/>
                <w:sz w:val="22"/>
                <w:szCs w:val="22"/>
                <w:lang w:val="en-US" w:eastAsia="en-GB"/>
              </w:rPr>
              <w:br/>
            </w:r>
            <w:r>
              <w:rPr>
                <w:rFonts w:ascii="Arial" w:hAnsi="Arial" w:cs="Arial"/>
                <w:i/>
                <w:sz w:val="22"/>
                <w:szCs w:val="22"/>
                <w:vertAlign w:val="superscript"/>
                <w:lang w:val="en-US" w:eastAsia="en-GB"/>
              </w:rPr>
              <w:t>4</w:t>
            </w:r>
            <w:r w:rsidR="005C2CE8" w:rsidRPr="000B24B8">
              <w:rPr>
                <w:rFonts w:ascii="Arial" w:hAnsi="Arial" w:cs="Arial"/>
                <w:i/>
                <w:sz w:val="22"/>
                <w:szCs w:val="22"/>
                <w:lang w:val="en-US" w:eastAsia="en-GB"/>
              </w:rPr>
              <w:t>Pulmonary Service, Corporació Sanitària Parc Taulí, Sabadell, Universitat Autònoma de Barcelona, Barcelona, Spain</w:t>
            </w:r>
            <w:r w:rsidR="000B24B8" w:rsidRPr="000B24B8">
              <w:rPr>
                <w:rFonts w:ascii="Arial" w:hAnsi="Arial" w:cs="Arial"/>
                <w:i/>
                <w:sz w:val="22"/>
                <w:szCs w:val="22"/>
                <w:lang w:val="en-US" w:eastAsia="en-GB"/>
              </w:rPr>
              <w:br/>
            </w:r>
            <w:r>
              <w:rPr>
                <w:rFonts w:ascii="Arial" w:hAnsi="Arial" w:cs="Arial"/>
                <w:i/>
                <w:sz w:val="22"/>
                <w:szCs w:val="22"/>
                <w:vertAlign w:val="superscript"/>
                <w:lang w:val="en-US" w:eastAsia="en-GB"/>
              </w:rPr>
              <w:t>5</w:t>
            </w:r>
            <w:r w:rsidR="005C2CE8" w:rsidRPr="000B24B8">
              <w:rPr>
                <w:rFonts w:ascii="Arial" w:hAnsi="Arial" w:cs="Arial"/>
                <w:i/>
                <w:sz w:val="22"/>
                <w:szCs w:val="22"/>
                <w:lang w:val="en-US" w:eastAsia="en-GB"/>
              </w:rPr>
              <w:t>Section of Pulmonary and Critical Care Medicine, Baylor College of Medicine, Houston, TX, USA</w:t>
            </w:r>
            <w:r w:rsidR="000B24B8" w:rsidRPr="000B24B8">
              <w:rPr>
                <w:rFonts w:ascii="Arial" w:hAnsi="Arial" w:cs="Arial"/>
                <w:i/>
                <w:sz w:val="22"/>
                <w:szCs w:val="22"/>
                <w:lang w:val="en-US" w:eastAsia="en-GB"/>
              </w:rPr>
              <w:br/>
            </w:r>
            <w:r>
              <w:rPr>
                <w:rFonts w:ascii="Arial" w:hAnsi="Arial" w:cs="Arial"/>
                <w:i/>
                <w:sz w:val="22"/>
                <w:szCs w:val="22"/>
                <w:vertAlign w:val="superscript"/>
                <w:lang w:val="en-US" w:eastAsia="en-GB"/>
              </w:rPr>
              <w:t>6</w:t>
            </w:r>
            <w:r w:rsidR="005C2CE8" w:rsidRPr="000B24B8">
              <w:rPr>
                <w:rFonts w:ascii="Arial" w:hAnsi="Arial" w:cs="Arial"/>
                <w:i/>
                <w:sz w:val="22"/>
                <w:szCs w:val="22"/>
                <w:lang w:val="en-US" w:eastAsia="en-GB"/>
              </w:rPr>
              <w:t>Humanitas University and Research Hospital-IRCCS, Milan, Italy</w:t>
            </w:r>
            <w:r>
              <w:rPr>
                <w:rFonts w:ascii="Arial" w:hAnsi="Arial" w:cs="Arial"/>
                <w:i/>
                <w:sz w:val="22"/>
                <w:szCs w:val="22"/>
                <w:lang w:val="en-US" w:eastAsia="en-GB"/>
              </w:rPr>
              <w:br/>
            </w:r>
            <w:r>
              <w:rPr>
                <w:rFonts w:ascii="Arial" w:hAnsi="Arial" w:cs="Arial"/>
                <w:i/>
                <w:sz w:val="22"/>
                <w:szCs w:val="22"/>
                <w:vertAlign w:val="superscript"/>
                <w:lang w:val="en-US" w:eastAsia="en-GB"/>
              </w:rPr>
              <w:t>7</w:t>
            </w:r>
            <w:r w:rsidR="005C2CE8" w:rsidRPr="000B24B8">
              <w:rPr>
                <w:rFonts w:ascii="Arial" w:hAnsi="Arial" w:cs="Arial"/>
                <w:i/>
                <w:sz w:val="22"/>
                <w:szCs w:val="22"/>
                <w:lang w:val="en-US" w:eastAsia="en-GB"/>
              </w:rPr>
              <w:t>University of Exeter Medical School, College of Medicine and Health, University of Exeter, Exeter, UK</w:t>
            </w:r>
            <w:r w:rsidR="000B24B8" w:rsidRPr="000B24B8">
              <w:rPr>
                <w:rFonts w:ascii="Arial" w:hAnsi="Arial" w:cs="Arial"/>
                <w:i/>
                <w:sz w:val="22"/>
                <w:szCs w:val="22"/>
                <w:lang w:val="en-US" w:eastAsia="en-GB"/>
              </w:rPr>
              <w:br/>
            </w:r>
            <w:r>
              <w:rPr>
                <w:rFonts w:ascii="Arial" w:hAnsi="Arial" w:cs="Arial"/>
                <w:i/>
                <w:sz w:val="22"/>
                <w:szCs w:val="22"/>
                <w:vertAlign w:val="superscript"/>
                <w:lang w:val="en-US" w:eastAsia="en-GB"/>
              </w:rPr>
              <w:t>8</w:t>
            </w:r>
            <w:r w:rsidR="005C2CE8" w:rsidRPr="000B24B8">
              <w:rPr>
                <w:rFonts w:ascii="Arial" w:hAnsi="Arial" w:cs="Arial"/>
                <w:i/>
                <w:sz w:val="22"/>
                <w:szCs w:val="22"/>
                <w:lang w:val="en-US" w:eastAsia="en-GB"/>
              </w:rPr>
              <w:t>University of Michigan, Ann Arbor, MI, USA</w:t>
            </w:r>
            <w:r w:rsidR="000B24B8" w:rsidRPr="000B24B8">
              <w:rPr>
                <w:rFonts w:ascii="Arial" w:hAnsi="Arial" w:cs="Arial"/>
                <w:i/>
                <w:sz w:val="22"/>
                <w:szCs w:val="22"/>
                <w:lang w:val="en-US" w:eastAsia="en-GB"/>
              </w:rPr>
              <w:br/>
            </w:r>
            <w:r>
              <w:rPr>
                <w:rFonts w:ascii="Arial" w:hAnsi="Arial" w:cs="Arial"/>
                <w:i/>
                <w:sz w:val="22"/>
                <w:szCs w:val="22"/>
                <w:vertAlign w:val="superscript"/>
                <w:lang w:val="en-US" w:eastAsia="en-GB"/>
              </w:rPr>
              <w:t>9</w:t>
            </w:r>
            <w:r w:rsidR="005C2CE8" w:rsidRPr="000B24B8">
              <w:rPr>
                <w:rFonts w:ascii="Arial" w:hAnsi="Arial" w:cs="Arial"/>
                <w:i/>
                <w:sz w:val="22"/>
                <w:szCs w:val="22"/>
                <w:lang w:val="en-US" w:eastAsia="en-GB"/>
              </w:rPr>
              <w:t>College of Medicine, Seoul St. Mary’s Hospital, The Catholic University of Korea, Seoul, Republic of Korea</w:t>
            </w:r>
            <w:r w:rsidR="000B24B8" w:rsidRPr="000B24B8">
              <w:rPr>
                <w:rFonts w:ascii="Arial" w:hAnsi="Arial" w:cs="Arial"/>
                <w:i/>
                <w:sz w:val="22"/>
                <w:szCs w:val="22"/>
                <w:lang w:val="en-US" w:eastAsia="en-GB"/>
              </w:rPr>
              <w:br/>
            </w:r>
            <w:r>
              <w:rPr>
                <w:rFonts w:ascii="Arial" w:hAnsi="Arial" w:cs="Arial"/>
                <w:i/>
                <w:sz w:val="22"/>
                <w:szCs w:val="22"/>
                <w:vertAlign w:val="superscript"/>
                <w:lang w:val="en-US" w:eastAsia="en-GB"/>
              </w:rPr>
              <w:t>10</w:t>
            </w:r>
            <w:r w:rsidR="005C2CE8" w:rsidRPr="000B24B8">
              <w:rPr>
                <w:rFonts w:ascii="Arial" w:hAnsi="Arial" w:cs="Arial"/>
                <w:i/>
                <w:sz w:val="22"/>
                <w:szCs w:val="22"/>
                <w:lang w:val="en-US" w:eastAsia="en-GB"/>
              </w:rPr>
              <w:t>Regeneron Pharmaceuticals Inc., Tarrytown, NY, USA</w:t>
            </w:r>
            <w:r w:rsidR="000B24B8" w:rsidRPr="000B24B8">
              <w:rPr>
                <w:rFonts w:ascii="Arial" w:hAnsi="Arial" w:cs="Arial"/>
                <w:i/>
                <w:sz w:val="22"/>
                <w:szCs w:val="22"/>
                <w:lang w:val="en-US" w:eastAsia="en-GB"/>
              </w:rPr>
              <w:br/>
            </w:r>
            <w:r w:rsidR="005C2CE8" w:rsidRPr="000B24B8">
              <w:rPr>
                <w:rFonts w:ascii="Arial" w:hAnsi="Arial" w:cs="Arial"/>
                <w:i/>
                <w:sz w:val="22"/>
                <w:szCs w:val="22"/>
                <w:vertAlign w:val="superscript"/>
                <w:lang w:val="en-US" w:eastAsia="en-GB"/>
              </w:rPr>
              <w:t>11</w:t>
            </w:r>
            <w:r w:rsidR="005C2CE8" w:rsidRPr="000B24B8">
              <w:rPr>
                <w:rFonts w:ascii="Arial" w:hAnsi="Arial" w:cs="Arial"/>
                <w:i/>
                <w:sz w:val="22"/>
                <w:szCs w:val="22"/>
                <w:lang w:val="en-US" w:eastAsia="en-GB"/>
              </w:rPr>
              <w:t>Sanofi, Bridgewater, NJ, USA</w:t>
            </w:r>
          </w:p>
        </w:tc>
      </w:tr>
      <w:tr w:rsidR="001564A4" w:rsidRPr="000B24B8" w14:paraId="6DAF615A" w14:textId="77777777" w:rsidTr="000A28E2">
        <w:trPr>
          <w:trHeight w:hRule="exact" w:val="7352"/>
          <w:jc w:val="center"/>
        </w:trPr>
        <w:tc>
          <w:tcPr>
            <w:tcW w:w="8640" w:type="dxa"/>
            <w:shd w:val="clear" w:color="auto" w:fill="auto"/>
          </w:tcPr>
          <w:p w14:paraId="739E7937" w14:textId="7CF498BF" w:rsidR="001564A4" w:rsidRPr="000B24B8" w:rsidRDefault="001564A4" w:rsidP="000B24B8">
            <w:pPr>
              <w:pStyle w:val="Pa12"/>
              <w:spacing w:line="240" w:lineRule="auto"/>
              <w:rPr>
                <w:rStyle w:val="A4"/>
              </w:rPr>
            </w:pPr>
            <w:r w:rsidRPr="000B24B8">
              <w:rPr>
                <w:rStyle w:val="A4"/>
                <w:b/>
                <w:bCs/>
              </w:rPr>
              <w:t xml:space="preserve">Introduction/Aim: </w:t>
            </w:r>
            <w:r w:rsidR="005C2CE8" w:rsidRPr="000B24B8">
              <w:rPr>
                <w:rStyle w:val="A4"/>
              </w:rPr>
              <w:t>We assessed the association between baseline disease characteristics and OCS elimination in patients with OCS-dependent severe asthma (VENTURE; NCT02528214).</w:t>
            </w:r>
          </w:p>
          <w:p w14:paraId="3D770CF7" w14:textId="77777777" w:rsidR="001564A4" w:rsidRPr="000B24B8" w:rsidRDefault="001564A4" w:rsidP="000B24B8">
            <w:pPr>
              <w:pStyle w:val="Pa12"/>
              <w:spacing w:line="240" w:lineRule="auto"/>
              <w:rPr>
                <w:rStyle w:val="A4"/>
                <w:bCs/>
              </w:rPr>
            </w:pPr>
          </w:p>
          <w:p w14:paraId="1B39336E" w14:textId="6774364D" w:rsidR="001564A4" w:rsidRPr="000B24B8" w:rsidRDefault="001564A4" w:rsidP="000B24B8">
            <w:pPr>
              <w:pStyle w:val="Pa12"/>
              <w:spacing w:line="240" w:lineRule="auto"/>
              <w:rPr>
                <w:rStyle w:val="A4"/>
                <w:b/>
                <w:bCs/>
              </w:rPr>
            </w:pPr>
            <w:r w:rsidRPr="000B24B8">
              <w:rPr>
                <w:rStyle w:val="A4"/>
                <w:b/>
                <w:bCs/>
              </w:rPr>
              <w:t xml:space="preserve">Methods: </w:t>
            </w:r>
            <w:r w:rsidR="005C2CE8" w:rsidRPr="000B24B8">
              <w:rPr>
                <w:rStyle w:val="A4"/>
              </w:rPr>
              <w:t>Patients received dupilumab 300mg q2w or placebo for 24 weeks (w); those who eliminated OCS at W24 were stratified by baseline pre-bronchodilator (BD) percent predicted (pp) FEV1 &lt;/≥60% or post-BD FEV1 ≤/&gt;median (1.78L) and odds ratios (OR) were calculated for achieving OCS elimination (W24).</w:t>
            </w:r>
          </w:p>
          <w:p w14:paraId="5029BAE6" w14:textId="5460873C" w:rsidR="001564A4" w:rsidRPr="000B24B8" w:rsidRDefault="001564A4" w:rsidP="000B24B8">
            <w:pPr>
              <w:pStyle w:val="Pa12"/>
              <w:spacing w:line="240" w:lineRule="auto"/>
              <w:rPr>
                <w:rStyle w:val="A4"/>
                <w:color w:val="auto"/>
              </w:rPr>
            </w:pPr>
          </w:p>
          <w:p w14:paraId="6BF3F094" w14:textId="04DEFFDA" w:rsidR="001564A4" w:rsidRPr="000B24B8" w:rsidRDefault="001564A4" w:rsidP="000B24B8">
            <w:pPr>
              <w:pStyle w:val="Pa12"/>
              <w:spacing w:line="240" w:lineRule="auto"/>
              <w:rPr>
                <w:rStyle w:val="A4"/>
                <w:b/>
                <w:bCs/>
              </w:rPr>
            </w:pPr>
            <w:r w:rsidRPr="000B24B8">
              <w:rPr>
                <w:rStyle w:val="A4"/>
                <w:b/>
                <w:bCs/>
              </w:rPr>
              <w:t xml:space="preserve">Results: </w:t>
            </w:r>
            <w:r w:rsidR="005C2CE8" w:rsidRPr="000B24B8">
              <w:rPr>
                <w:bCs/>
                <w:sz w:val="22"/>
                <w:szCs w:val="22"/>
              </w:rPr>
              <w:t xml:space="preserve">In patients with </w:t>
            </w:r>
            <w:bookmarkStart w:id="0" w:name="_Hlk137740292"/>
            <w:r w:rsidR="005C2CE8" w:rsidRPr="000B24B8">
              <w:rPr>
                <w:bCs/>
                <w:sz w:val="22"/>
                <w:szCs w:val="22"/>
              </w:rPr>
              <w:t>baseline pre-BD ppFEV</w:t>
            </w:r>
            <w:r w:rsidR="005C2CE8" w:rsidRPr="000B24B8">
              <w:rPr>
                <w:bCs/>
                <w:sz w:val="22"/>
                <w:szCs w:val="22"/>
                <w:vertAlign w:val="subscript"/>
              </w:rPr>
              <w:t>1</w:t>
            </w:r>
            <w:r w:rsidR="005C2CE8" w:rsidRPr="000B24B8">
              <w:rPr>
                <w:bCs/>
                <w:sz w:val="22"/>
                <w:szCs w:val="22"/>
              </w:rPr>
              <w:t xml:space="preserve"> &lt;60%/≥60%, </w:t>
            </w:r>
            <w:bookmarkEnd w:id="0"/>
            <w:r w:rsidR="005C2CE8" w:rsidRPr="000B24B8">
              <w:rPr>
                <w:bCs/>
                <w:sz w:val="22"/>
                <w:szCs w:val="22"/>
              </w:rPr>
              <w:t>OR for dupilumab vs placebo</w:t>
            </w:r>
            <w:r w:rsidR="005C2CE8" w:rsidRPr="000B24B8" w:rsidDel="00A6202A">
              <w:rPr>
                <w:bCs/>
                <w:sz w:val="22"/>
                <w:szCs w:val="22"/>
              </w:rPr>
              <w:t xml:space="preserve"> </w:t>
            </w:r>
            <w:r w:rsidR="005C2CE8" w:rsidRPr="000B24B8">
              <w:rPr>
                <w:bCs/>
                <w:sz w:val="22"/>
                <w:szCs w:val="22"/>
              </w:rPr>
              <w:t>were 6.8</w:t>
            </w:r>
            <w:bookmarkStart w:id="1" w:name="_Hlk137743367"/>
            <w:r w:rsidR="005C2CE8" w:rsidRPr="000B24B8">
              <w:rPr>
                <w:bCs/>
                <w:sz w:val="22"/>
                <w:szCs w:val="22"/>
              </w:rPr>
              <w:t>/1.3 (</w:t>
            </w:r>
            <w:r w:rsidR="005C2CE8" w:rsidRPr="000B24B8">
              <w:rPr>
                <w:bCs/>
                <w:i/>
                <w:iCs/>
                <w:sz w:val="22"/>
                <w:szCs w:val="22"/>
              </w:rPr>
              <w:t>P</w:t>
            </w:r>
            <w:r w:rsidR="005C2CE8" w:rsidRPr="000B24B8">
              <w:rPr>
                <w:bCs/>
                <w:i/>
                <w:iCs/>
                <w:sz w:val="22"/>
                <w:szCs w:val="22"/>
                <w:vertAlign w:val="subscript"/>
              </w:rPr>
              <w:t>int</w:t>
            </w:r>
            <w:bookmarkEnd w:id="1"/>
            <w:r w:rsidR="005C2CE8" w:rsidRPr="000B24B8">
              <w:rPr>
                <w:bCs/>
                <w:sz w:val="22"/>
                <w:szCs w:val="22"/>
              </w:rPr>
              <w:t>=0.03). I</w:t>
            </w:r>
            <w:r w:rsidR="005C2CE8" w:rsidRPr="000B24B8">
              <w:rPr>
                <w:sz w:val="22"/>
                <w:szCs w:val="22"/>
              </w:rPr>
              <w:t>n patients with baseline post-BD FEV</w:t>
            </w:r>
            <w:r w:rsidR="005C2CE8" w:rsidRPr="000B24B8">
              <w:rPr>
                <w:sz w:val="22"/>
                <w:szCs w:val="22"/>
                <w:vertAlign w:val="subscript"/>
              </w:rPr>
              <w:t>1</w:t>
            </w:r>
            <w:r w:rsidR="005C2CE8" w:rsidRPr="000B24B8">
              <w:rPr>
                <w:sz w:val="22"/>
                <w:szCs w:val="22"/>
              </w:rPr>
              <w:t xml:space="preserve"> ≤median/</w:t>
            </w:r>
            <w:r w:rsidR="005C2CE8" w:rsidRPr="000B24B8">
              <w:rPr>
                <w:bCs/>
                <w:sz w:val="22"/>
                <w:szCs w:val="22"/>
              </w:rPr>
              <w:t>&gt;median, OR were 6.1/1.8 (</w:t>
            </w:r>
            <w:r w:rsidR="005C2CE8" w:rsidRPr="000B24B8">
              <w:rPr>
                <w:bCs/>
                <w:i/>
                <w:iCs/>
                <w:sz w:val="22"/>
                <w:szCs w:val="22"/>
              </w:rPr>
              <w:t>P</w:t>
            </w:r>
            <w:r w:rsidR="005C2CE8" w:rsidRPr="000B24B8">
              <w:rPr>
                <w:bCs/>
                <w:i/>
                <w:iCs/>
                <w:sz w:val="22"/>
                <w:szCs w:val="22"/>
                <w:vertAlign w:val="subscript"/>
              </w:rPr>
              <w:t>int</w:t>
            </w:r>
            <w:r w:rsidR="005C2CE8" w:rsidRPr="000B24B8">
              <w:rPr>
                <w:bCs/>
                <w:sz w:val="22"/>
                <w:szCs w:val="22"/>
              </w:rPr>
              <w:t>=0.08). In those with pre-BD ppFEV</w:t>
            </w:r>
            <w:r w:rsidR="005C2CE8" w:rsidRPr="000B24B8">
              <w:rPr>
                <w:bCs/>
                <w:sz w:val="22"/>
                <w:szCs w:val="22"/>
                <w:vertAlign w:val="subscript"/>
              </w:rPr>
              <w:t>1</w:t>
            </w:r>
            <w:r w:rsidR="005C2CE8" w:rsidRPr="000B24B8">
              <w:rPr>
                <w:bCs/>
                <w:sz w:val="22"/>
                <w:szCs w:val="22"/>
              </w:rPr>
              <w:t xml:space="preserve"> </w:t>
            </w:r>
            <w:r w:rsidR="005C2CE8" w:rsidRPr="000B24B8">
              <w:rPr>
                <w:sz w:val="22"/>
                <w:szCs w:val="22"/>
              </w:rPr>
              <w:t>≥</w:t>
            </w:r>
            <w:r w:rsidR="005C2CE8" w:rsidRPr="000B24B8">
              <w:rPr>
                <w:bCs/>
                <w:sz w:val="22"/>
                <w:szCs w:val="22"/>
              </w:rPr>
              <w:t xml:space="preserve">60% or </w:t>
            </w:r>
            <w:r w:rsidR="005C2CE8" w:rsidRPr="000B24B8">
              <w:rPr>
                <w:sz w:val="22"/>
                <w:szCs w:val="22"/>
              </w:rPr>
              <w:t>post-BD FEV</w:t>
            </w:r>
            <w:r w:rsidR="005C2CE8" w:rsidRPr="000B24B8">
              <w:rPr>
                <w:sz w:val="22"/>
                <w:szCs w:val="22"/>
                <w:vertAlign w:val="subscript"/>
              </w:rPr>
              <w:t>1</w:t>
            </w:r>
            <w:r w:rsidR="005C2CE8" w:rsidRPr="000B24B8">
              <w:rPr>
                <w:sz w:val="22"/>
                <w:szCs w:val="22"/>
              </w:rPr>
              <w:t xml:space="preserve"> &gt;median, </w:t>
            </w:r>
            <w:r w:rsidR="005C2CE8" w:rsidRPr="000B24B8">
              <w:rPr>
                <w:bCs/>
                <w:sz w:val="22"/>
                <w:szCs w:val="22"/>
              </w:rPr>
              <w:t>more placebo patients achieved OCS elimination.</w:t>
            </w:r>
          </w:p>
          <w:p w14:paraId="68537800" w14:textId="6DA9CAEB" w:rsidR="001564A4" w:rsidRPr="000B24B8" w:rsidRDefault="001564A4" w:rsidP="000B24B8">
            <w:pPr>
              <w:pStyle w:val="Pa12"/>
              <w:spacing w:line="240" w:lineRule="auto"/>
              <w:rPr>
                <w:rStyle w:val="A4"/>
                <w:color w:val="auto"/>
              </w:rPr>
            </w:pPr>
          </w:p>
          <w:p w14:paraId="652F7BE1" w14:textId="3D069DDD" w:rsidR="001564A4" w:rsidRPr="000B24B8" w:rsidRDefault="001564A4" w:rsidP="000B24B8">
            <w:pPr>
              <w:pStyle w:val="Pa12"/>
              <w:spacing w:line="240" w:lineRule="auto"/>
              <w:rPr>
                <w:rStyle w:val="A4"/>
                <w:b/>
                <w:bCs/>
              </w:rPr>
            </w:pPr>
            <w:r w:rsidRPr="000B24B8">
              <w:rPr>
                <w:rStyle w:val="A4"/>
                <w:b/>
                <w:bCs/>
              </w:rPr>
              <w:t xml:space="preserve">Conclusion: </w:t>
            </w:r>
            <w:r w:rsidR="005C2CE8" w:rsidRPr="000B24B8">
              <w:rPr>
                <w:spacing w:val="-3"/>
                <w:sz w:val="22"/>
                <w:szCs w:val="22"/>
              </w:rPr>
              <w:t xml:space="preserve">Dupilumab versus placebo showed strong statistically significant association with achieving OCS elimination at W24 in patients with </w:t>
            </w:r>
            <w:r w:rsidR="005C2CE8" w:rsidRPr="000B24B8">
              <w:rPr>
                <w:sz w:val="22"/>
                <w:szCs w:val="22"/>
              </w:rPr>
              <w:t>OCS-dependent severe asthma</w:t>
            </w:r>
            <w:r w:rsidR="005C2CE8" w:rsidRPr="000B24B8">
              <w:rPr>
                <w:spacing w:val="-3"/>
                <w:sz w:val="22"/>
                <w:szCs w:val="22"/>
              </w:rPr>
              <w:t xml:space="preserve"> and pre-BD ppFEV</w:t>
            </w:r>
            <w:r w:rsidR="005C2CE8" w:rsidRPr="000B24B8">
              <w:rPr>
                <w:spacing w:val="-3"/>
                <w:sz w:val="22"/>
                <w:szCs w:val="22"/>
                <w:vertAlign w:val="subscript"/>
              </w:rPr>
              <w:t xml:space="preserve">1 </w:t>
            </w:r>
            <w:r w:rsidR="005C2CE8" w:rsidRPr="000B24B8">
              <w:rPr>
                <w:spacing w:val="-3"/>
                <w:sz w:val="22"/>
                <w:szCs w:val="22"/>
              </w:rPr>
              <w:t>&lt;60% or post-BD FEV</w:t>
            </w:r>
            <w:r w:rsidR="005C2CE8" w:rsidRPr="000B24B8">
              <w:rPr>
                <w:spacing w:val="-3"/>
                <w:sz w:val="22"/>
                <w:szCs w:val="22"/>
                <w:vertAlign w:val="subscript"/>
              </w:rPr>
              <w:t>1</w:t>
            </w:r>
            <w:r w:rsidR="005C2CE8" w:rsidRPr="000B24B8">
              <w:rPr>
                <w:spacing w:val="-3"/>
                <w:sz w:val="22"/>
                <w:szCs w:val="22"/>
              </w:rPr>
              <w:t xml:space="preserve"> </w:t>
            </w:r>
            <w:r w:rsidR="005C2CE8" w:rsidRPr="000B24B8">
              <w:rPr>
                <w:bCs/>
                <w:sz w:val="22"/>
                <w:szCs w:val="22"/>
              </w:rPr>
              <w:t xml:space="preserve">≤median </w:t>
            </w:r>
            <w:r w:rsidR="005C2CE8" w:rsidRPr="000B24B8">
              <w:rPr>
                <w:spacing w:val="-3"/>
                <w:sz w:val="22"/>
                <w:szCs w:val="22"/>
              </w:rPr>
              <w:t xml:space="preserve">at baseline. Moderate associations (non-significant) were observed in patients with </w:t>
            </w:r>
            <w:r w:rsidR="005C2CE8" w:rsidRPr="000B24B8">
              <w:rPr>
                <w:bCs/>
                <w:sz w:val="22"/>
                <w:szCs w:val="22"/>
              </w:rPr>
              <w:t>baseline pre-BD ppFEV</w:t>
            </w:r>
            <w:r w:rsidR="005C2CE8" w:rsidRPr="000B24B8">
              <w:rPr>
                <w:bCs/>
                <w:sz w:val="22"/>
                <w:szCs w:val="22"/>
                <w:vertAlign w:val="subscript"/>
              </w:rPr>
              <w:t>1</w:t>
            </w:r>
            <w:r w:rsidR="005C2CE8" w:rsidRPr="000B24B8">
              <w:rPr>
                <w:bCs/>
                <w:sz w:val="22"/>
                <w:szCs w:val="22"/>
              </w:rPr>
              <w:t xml:space="preserve"> ≥60% or </w:t>
            </w:r>
            <w:r w:rsidR="005C2CE8" w:rsidRPr="000B24B8">
              <w:rPr>
                <w:sz w:val="22"/>
                <w:szCs w:val="22"/>
              </w:rPr>
              <w:t>post-BD FEV</w:t>
            </w:r>
            <w:r w:rsidR="005C2CE8" w:rsidRPr="000B24B8">
              <w:rPr>
                <w:sz w:val="22"/>
                <w:szCs w:val="22"/>
                <w:vertAlign w:val="subscript"/>
              </w:rPr>
              <w:t>1</w:t>
            </w:r>
            <w:r w:rsidR="005C2CE8" w:rsidRPr="000B24B8">
              <w:rPr>
                <w:sz w:val="22"/>
                <w:szCs w:val="22"/>
              </w:rPr>
              <w:t xml:space="preserve"> above median at baseline.</w:t>
            </w:r>
          </w:p>
          <w:p w14:paraId="196E7BAC" w14:textId="2179FB0D" w:rsidR="001564A4" w:rsidRPr="000B24B8" w:rsidRDefault="001564A4" w:rsidP="000B24B8">
            <w:pPr>
              <w:pStyle w:val="Pa12"/>
              <w:spacing w:line="240" w:lineRule="auto"/>
              <w:rPr>
                <w:rStyle w:val="A4"/>
                <w:color w:val="auto"/>
              </w:rPr>
            </w:pPr>
          </w:p>
          <w:p w14:paraId="3E8B4283" w14:textId="289DC9C4" w:rsidR="001564A4" w:rsidRPr="000B24B8" w:rsidRDefault="001564A4" w:rsidP="000B24B8">
            <w:pPr>
              <w:pStyle w:val="Pa12"/>
              <w:spacing w:line="240" w:lineRule="auto"/>
              <w:rPr>
                <w:rStyle w:val="A4"/>
                <w:b/>
                <w:bCs/>
              </w:rPr>
            </w:pPr>
            <w:r w:rsidRPr="000B24B8">
              <w:rPr>
                <w:rStyle w:val="A4"/>
                <w:b/>
                <w:bCs/>
              </w:rPr>
              <w:t xml:space="preserve">Grant Support: </w:t>
            </w:r>
            <w:r w:rsidR="005C2CE8" w:rsidRPr="000B24B8">
              <w:rPr>
                <w:sz w:val="22"/>
                <w:szCs w:val="22"/>
              </w:rPr>
              <w:t>*Presenting on behalf of authors. Data first presented at the</w:t>
            </w:r>
            <w:r w:rsidR="005C2CE8" w:rsidRPr="000B24B8">
              <w:rPr>
                <w:sz w:val="22"/>
                <w:szCs w:val="22"/>
                <w:lang w:val="en-GB"/>
              </w:rPr>
              <w:t xml:space="preserve"> American College of Allergy, Asthma &amp; Immunology (ACAAI) annual scientific meeting</w:t>
            </w:r>
            <w:r w:rsidR="005C2CE8" w:rsidRPr="000B24B8">
              <w:rPr>
                <w:sz w:val="22"/>
                <w:szCs w:val="22"/>
              </w:rPr>
              <w:t xml:space="preserve">; </w:t>
            </w:r>
            <w:r w:rsidR="005C2CE8" w:rsidRPr="000B24B8">
              <w:rPr>
                <w:sz w:val="22"/>
                <w:szCs w:val="22"/>
                <w:lang w:val="en-GB"/>
              </w:rPr>
              <w:t>Anaheim, CA, USA</w:t>
            </w:r>
            <w:r w:rsidR="005C2CE8" w:rsidRPr="000B24B8">
              <w:rPr>
                <w:sz w:val="22"/>
                <w:szCs w:val="22"/>
              </w:rPr>
              <w:t xml:space="preserve">; </w:t>
            </w:r>
            <w:r w:rsidR="005C2CE8" w:rsidRPr="000B24B8">
              <w:rPr>
                <w:sz w:val="22"/>
                <w:szCs w:val="22"/>
                <w:lang w:val="en-GB"/>
              </w:rPr>
              <w:t>November 9-13, 2023.</w:t>
            </w:r>
            <w:r w:rsidR="005C2CE8" w:rsidRPr="000B24B8">
              <w:rPr>
                <w:sz w:val="22"/>
                <w:szCs w:val="22"/>
              </w:rPr>
              <w:t xml:space="preserve"> Research sponsored by Sanofi and Pharmaceuticals, Inc. ClinicalTrials.gov Identifier: NCT02528214.</w:t>
            </w:r>
            <w:r w:rsidR="005C2CE8" w:rsidRPr="000B24B8">
              <w:rPr>
                <w:spacing w:val="-3"/>
                <w:sz w:val="22"/>
                <w:szCs w:val="22"/>
              </w:rPr>
              <w:t xml:space="preserve"> </w:t>
            </w:r>
            <w:r w:rsidR="005C2CE8" w:rsidRPr="000B24B8">
              <w:rPr>
                <w:sz w:val="22"/>
                <w:szCs w:val="22"/>
              </w:rPr>
              <w:t>Medical</w:t>
            </w:r>
            <w:r w:rsidR="005C2CE8" w:rsidRPr="000B24B8">
              <w:rPr>
                <w:spacing w:val="-4"/>
                <w:sz w:val="22"/>
                <w:szCs w:val="22"/>
              </w:rPr>
              <w:t xml:space="preserve"> </w:t>
            </w:r>
            <w:r w:rsidR="005C2CE8" w:rsidRPr="000B24B8">
              <w:rPr>
                <w:sz w:val="22"/>
                <w:szCs w:val="22"/>
              </w:rPr>
              <w:t>writing/editorial</w:t>
            </w:r>
            <w:r w:rsidR="005C2CE8" w:rsidRPr="000B24B8">
              <w:rPr>
                <w:spacing w:val="-2"/>
                <w:sz w:val="22"/>
                <w:szCs w:val="22"/>
              </w:rPr>
              <w:t xml:space="preserve"> </w:t>
            </w:r>
            <w:r w:rsidR="005C2CE8" w:rsidRPr="000B24B8">
              <w:rPr>
                <w:sz w:val="22"/>
                <w:szCs w:val="22"/>
              </w:rPr>
              <w:t>assistance</w:t>
            </w:r>
            <w:r w:rsidR="005C2CE8" w:rsidRPr="000B24B8">
              <w:rPr>
                <w:spacing w:val="-5"/>
                <w:sz w:val="22"/>
                <w:szCs w:val="22"/>
              </w:rPr>
              <w:t xml:space="preserve"> </w:t>
            </w:r>
            <w:r w:rsidR="005C2CE8" w:rsidRPr="000B24B8">
              <w:rPr>
                <w:sz w:val="22"/>
                <w:szCs w:val="22"/>
              </w:rPr>
              <w:t>was</w:t>
            </w:r>
            <w:r w:rsidR="005C2CE8" w:rsidRPr="000B24B8">
              <w:rPr>
                <w:spacing w:val="-2"/>
                <w:sz w:val="22"/>
                <w:szCs w:val="22"/>
              </w:rPr>
              <w:t xml:space="preserve"> </w:t>
            </w:r>
            <w:r w:rsidR="005C2CE8" w:rsidRPr="000B24B8">
              <w:rPr>
                <w:sz w:val="22"/>
                <w:szCs w:val="22"/>
              </w:rPr>
              <w:t>provided</w:t>
            </w:r>
            <w:r w:rsidR="005C2CE8" w:rsidRPr="000B24B8">
              <w:rPr>
                <w:spacing w:val="-2"/>
                <w:sz w:val="22"/>
                <w:szCs w:val="22"/>
              </w:rPr>
              <w:t xml:space="preserve"> </w:t>
            </w:r>
            <w:r w:rsidR="005C2CE8" w:rsidRPr="000B24B8">
              <w:rPr>
                <w:sz w:val="22"/>
                <w:szCs w:val="22"/>
              </w:rPr>
              <w:t>by</w:t>
            </w:r>
            <w:r w:rsidR="005C2CE8" w:rsidRPr="000B24B8">
              <w:rPr>
                <w:spacing w:val="-3"/>
                <w:sz w:val="22"/>
                <w:szCs w:val="22"/>
              </w:rPr>
              <w:t xml:space="preserve"> </w:t>
            </w:r>
            <w:r w:rsidR="005C2CE8" w:rsidRPr="000B24B8">
              <w:rPr>
                <w:sz w:val="22"/>
                <w:szCs w:val="22"/>
              </w:rPr>
              <w:t>Orthis Saha,</w:t>
            </w:r>
            <w:r w:rsidR="005C2CE8" w:rsidRPr="000B24B8">
              <w:rPr>
                <w:spacing w:val="-2"/>
                <w:sz w:val="22"/>
                <w:szCs w:val="22"/>
              </w:rPr>
              <w:t xml:space="preserve"> </w:t>
            </w:r>
            <w:r w:rsidR="005C2CE8" w:rsidRPr="000B24B8">
              <w:rPr>
                <w:sz w:val="22"/>
                <w:szCs w:val="22"/>
              </w:rPr>
              <w:t>PhD</w:t>
            </w:r>
            <w:r w:rsidR="005C2CE8" w:rsidRPr="000B24B8">
              <w:rPr>
                <w:spacing w:val="-3"/>
                <w:sz w:val="22"/>
                <w:szCs w:val="22"/>
              </w:rPr>
              <w:t xml:space="preserve"> </w:t>
            </w:r>
            <w:r w:rsidR="005C2CE8" w:rsidRPr="000B24B8">
              <w:rPr>
                <w:sz w:val="22"/>
                <w:szCs w:val="22"/>
              </w:rPr>
              <w:t>of</w:t>
            </w:r>
            <w:r w:rsidR="005C2CE8" w:rsidRPr="000B24B8">
              <w:rPr>
                <w:spacing w:val="-5"/>
                <w:sz w:val="22"/>
                <w:szCs w:val="22"/>
              </w:rPr>
              <w:t xml:space="preserve"> </w:t>
            </w:r>
            <w:r w:rsidR="005C2CE8" w:rsidRPr="000B24B8">
              <w:rPr>
                <w:sz w:val="22"/>
                <w:szCs w:val="22"/>
              </w:rPr>
              <w:t xml:space="preserve">Excerpta Medica, and was funded by Sanofi and Regeneron Pharmaceuticals, Inc., according to the </w:t>
            </w:r>
            <w:hyperlink r:id="rId7">
              <w:r w:rsidR="005C2CE8" w:rsidRPr="000B24B8">
                <w:rPr>
                  <w:color w:val="0000FF"/>
                  <w:sz w:val="22"/>
                  <w:szCs w:val="22"/>
                  <w:u w:val="single" w:color="0000FF"/>
                </w:rPr>
                <w:t>Good</w:t>
              </w:r>
            </w:hyperlink>
            <w:r w:rsidR="005C2CE8" w:rsidRPr="000B24B8">
              <w:rPr>
                <w:color w:val="0000FF"/>
                <w:sz w:val="22"/>
                <w:szCs w:val="22"/>
              </w:rPr>
              <w:t xml:space="preserve"> </w:t>
            </w:r>
            <w:hyperlink r:id="rId8">
              <w:r w:rsidR="005C2CE8" w:rsidRPr="000B24B8">
                <w:rPr>
                  <w:color w:val="0000FF"/>
                  <w:sz w:val="22"/>
                  <w:szCs w:val="22"/>
                  <w:u w:val="single" w:color="0000FF"/>
                </w:rPr>
                <w:t>Publication Practice guideline</w:t>
              </w:r>
              <w:r w:rsidR="005C2CE8" w:rsidRPr="000B24B8">
                <w:rPr>
                  <w:sz w:val="22"/>
                  <w:szCs w:val="22"/>
                </w:rPr>
                <w:t>.</w:t>
              </w:r>
            </w:hyperlink>
          </w:p>
          <w:p w14:paraId="00AB4DC0" w14:textId="77777777" w:rsidR="005C2CE8" w:rsidRPr="000B24B8" w:rsidRDefault="001564A4" w:rsidP="000B24B8">
            <w:pPr>
              <w:pStyle w:val="BodyText"/>
              <w:ind w:right="182"/>
              <w:rPr>
                <w:rFonts w:ascii="Arial" w:hAnsi="Arial" w:cs="Arial"/>
                <w:b/>
                <w:bCs/>
              </w:rPr>
            </w:pPr>
            <w:r w:rsidRPr="000B24B8">
              <w:rPr>
                <w:rFonts w:ascii="Arial" w:hAnsi="Arial" w:cs="Arial"/>
              </w:rPr>
              <w:br/>
            </w:r>
            <w:r w:rsidR="005C2CE8" w:rsidRPr="000B24B8">
              <w:rPr>
                <w:rFonts w:ascii="Arial" w:hAnsi="Arial" w:cs="Arial"/>
                <w:b/>
                <w:bCs/>
              </w:rPr>
              <w:t xml:space="preserve">Key words: </w:t>
            </w:r>
            <w:r w:rsidR="005C2CE8" w:rsidRPr="00D32813">
              <w:rPr>
                <w:rFonts w:ascii="Arial" w:eastAsia="Times New Roman" w:hAnsi="Arial" w:cs="Arial"/>
                <w:lang w:val="en-NZ" w:eastAsia="en-NZ"/>
              </w:rPr>
              <w:t>Asthma, oral corticosteroids, baseline characteristics, dupilumab</w:t>
            </w:r>
          </w:p>
          <w:p w14:paraId="7F8381F0" w14:textId="46D270E0" w:rsidR="001564A4" w:rsidRPr="000B24B8" w:rsidRDefault="001564A4" w:rsidP="000B24B8">
            <w:pPr>
              <w:pStyle w:val="Pa12"/>
              <w:spacing w:line="240" w:lineRule="auto"/>
              <w:rPr>
                <w:sz w:val="22"/>
                <w:szCs w:val="22"/>
              </w:rPr>
            </w:pPr>
            <w:r w:rsidRPr="000B24B8">
              <w:rPr>
                <w:sz w:val="22"/>
                <w:szCs w:val="22"/>
              </w:rPr>
              <w:br/>
            </w:r>
            <w:r w:rsidRPr="000B24B8">
              <w:rPr>
                <w:sz w:val="22"/>
                <w:szCs w:val="22"/>
              </w:rPr>
              <w:br/>
            </w:r>
            <w:r w:rsidRPr="000B24B8">
              <w:rPr>
                <w:sz w:val="22"/>
                <w:szCs w:val="22"/>
              </w:rPr>
              <w:br/>
            </w:r>
            <w:r w:rsidRPr="000B24B8">
              <w:rPr>
                <w:sz w:val="22"/>
                <w:szCs w:val="22"/>
              </w:rPr>
              <w:br/>
            </w:r>
            <w:r w:rsidRPr="000B24B8">
              <w:rPr>
                <w:sz w:val="22"/>
                <w:szCs w:val="22"/>
              </w:rPr>
              <w:br/>
            </w:r>
            <w:r w:rsidRPr="000B24B8">
              <w:rPr>
                <w:sz w:val="22"/>
                <w:szCs w:val="22"/>
              </w:rPr>
              <w:br/>
            </w:r>
            <w:r w:rsidRPr="000B24B8">
              <w:rPr>
                <w:sz w:val="22"/>
                <w:szCs w:val="22"/>
              </w:rPr>
              <w:br/>
            </w:r>
            <w:r w:rsidRPr="000B24B8">
              <w:rPr>
                <w:sz w:val="22"/>
                <w:szCs w:val="22"/>
              </w:rPr>
              <w:br/>
            </w:r>
            <w:r w:rsidRPr="000B24B8">
              <w:rPr>
                <w:sz w:val="22"/>
                <w:szCs w:val="22"/>
              </w:rPr>
              <w:br/>
            </w:r>
            <w:r w:rsidRPr="000B24B8">
              <w:rPr>
                <w:sz w:val="22"/>
                <w:szCs w:val="22"/>
              </w:rPr>
              <w:br/>
            </w:r>
          </w:p>
          <w:p w14:paraId="731CD908" w14:textId="77777777" w:rsidR="001564A4" w:rsidRPr="000B24B8" w:rsidRDefault="001564A4" w:rsidP="000B24B8">
            <w:pPr>
              <w:pStyle w:val="Default"/>
              <w:rPr>
                <w:sz w:val="22"/>
                <w:szCs w:val="22"/>
              </w:rPr>
            </w:pPr>
          </w:p>
          <w:p w14:paraId="34BF0A0F" w14:textId="77777777" w:rsidR="001564A4" w:rsidRPr="000B24B8" w:rsidRDefault="001564A4" w:rsidP="000B24B8">
            <w:pPr>
              <w:pStyle w:val="Default"/>
              <w:rPr>
                <w:sz w:val="22"/>
                <w:szCs w:val="22"/>
              </w:rPr>
            </w:pPr>
          </w:p>
          <w:p w14:paraId="1FF1A88F" w14:textId="77777777" w:rsidR="001564A4" w:rsidRPr="000B24B8" w:rsidRDefault="001564A4" w:rsidP="000B24B8">
            <w:pPr>
              <w:pStyle w:val="Pa12"/>
              <w:spacing w:line="240" w:lineRule="auto"/>
              <w:rPr>
                <w:rStyle w:val="A4"/>
                <w:bCs/>
              </w:rPr>
            </w:pPr>
            <w:r w:rsidRPr="000B24B8">
              <w:rPr>
                <w:rStyle w:val="A4"/>
                <w:bCs/>
              </w:rPr>
              <w:br/>
            </w:r>
            <w:r w:rsidRPr="000B24B8">
              <w:rPr>
                <w:rStyle w:val="A4"/>
                <w:bCs/>
              </w:rPr>
              <w:br/>
            </w:r>
            <w:r w:rsidRPr="000B24B8">
              <w:rPr>
                <w:rStyle w:val="A4"/>
                <w:bCs/>
              </w:rPr>
              <w:br/>
            </w:r>
            <w:r w:rsidRPr="000B24B8">
              <w:rPr>
                <w:rStyle w:val="A4"/>
                <w:bCs/>
              </w:rPr>
              <w:br/>
            </w:r>
            <w:r w:rsidRPr="000B24B8">
              <w:rPr>
                <w:rStyle w:val="A4"/>
                <w:bCs/>
              </w:rPr>
              <w:br/>
            </w:r>
            <w:r w:rsidRPr="000B24B8">
              <w:rPr>
                <w:rStyle w:val="A4"/>
                <w:bCs/>
              </w:rPr>
              <w:br/>
            </w:r>
            <w:r w:rsidRPr="000B24B8">
              <w:rPr>
                <w:rStyle w:val="A4"/>
                <w:bCs/>
              </w:rPr>
              <w:br/>
            </w:r>
            <w:r w:rsidRPr="000B24B8">
              <w:rPr>
                <w:rStyle w:val="A4"/>
                <w:bCs/>
              </w:rPr>
              <w:br/>
            </w:r>
            <w:r w:rsidRPr="000B24B8">
              <w:rPr>
                <w:rStyle w:val="A4"/>
                <w:bCs/>
              </w:rPr>
              <w:br/>
            </w:r>
            <w:r w:rsidRPr="000B24B8">
              <w:rPr>
                <w:rStyle w:val="A4"/>
                <w:bCs/>
              </w:rPr>
              <w:br/>
            </w:r>
            <w:r w:rsidRPr="000B24B8">
              <w:rPr>
                <w:rStyle w:val="A4"/>
                <w:bCs/>
              </w:rPr>
              <w:br/>
            </w:r>
          </w:p>
          <w:p w14:paraId="14DC37E4" w14:textId="77777777" w:rsidR="001564A4" w:rsidRPr="000B24B8" w:rsidRDefault="001564A4" w:rsidP="000B24B8">
            <w:pPr>
              <w:pStyle w:val="Default"/>
              <w:rPr>
                <w:rStyle w:val="A4"/>
                <w:bCs/>
              </w:rPr>
            </w:pPr>
          </w:p>
          <w:p w14:paraId="5F58D34F" w14:textId="77777777" w:rsidR="001564A4" w:rsidRPr="000B24B8" w:rsidRDefault="001564A4" w:rsidP="000B24B8">
            <w:pPr>
              <w:pStyle w:val="Default"/>
              <w:rPr>
                <w:sz w:val="22"/>
                <w:szCs w:val="22"/>
                <w:lang w:val="en-US" w:eastAsia="en-GB"/>
              </w:rPr>
            </w:pP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r w:rsidRPr="000B24B8">
              <w:rPr>
                <w:sz w:val="22"/>
                <w:szCs w:val="22"/>
                <w:lang w:val="en-US" w:eastAsia="en-GB"/>
              </w:rPr>
              <w:br/>
            </w:r>
          </w:p>
        </w:tc>
      </w:tr>
    </w:tbl>
    <w:p w14:paraId="7C36A9DC" w14:textId="32A70617" w:rsidR="00E0700F" w:rsidRDefault="00E0700F" w:rsidP="000B24B8">
      <w:pPr>
        <w:rPr>
          <w:rFonts w:ascii="Arial" w:hAnsi="Arial" w:cs="Arial"/>
          <w:sz w:val="22"/>
          <w:szCs w:val="22"/>
        </w:rPr>
      </w:pPr>
    </w:p>
    <w:p w14:paraId="1A2215AD" w14:textId="77777777" w:rsidR="00D901B2" w:rsidRDefault="00D901B2" w:rsidP="000B24B8">
      <w:pPr>
        <w:rPr>
          <w:rFonts w:ascii="Arial" w:hAnsi="Arial" w:cs="Arial"/>
          <w:sz w:val="22"/>
          <w:szCs w:val="22"/>
        </w:rPr>
      </w:pPr>
    </w:p>
    <w:p w14:paraId="3E8E64F9" w14:textId="77777777" w:rsidR="00D901B2" w:rsidRPr="00D901B2" w:rsidRDefault="00D901B2" w:rsidP="00D901B2">
      <w:pPr>
        <w:rPr>
          <w:rFonts w:ascii="Arial" w:hAnsi="Arial" w:cs="Arial"/>
          <w:sz w:val="22"/>
          <w:szCs w:val="22"/>
        </w:rPr>
      </w:pPr>
      <w:r w:rsidRPr="00D901B2">
        <w:rPr>
          <w:rFonts w:ascii="Arial" w:hAnsi="Arial" w:cs="Arial"/>
          <w:b/>
          <w:bCs/>
          <w:sz w:val="22"/>
          <w:szCs w:val="22"/>
        </w:rPr>
        <w:lastRenderedPageBreak/>
        <w:t>Disclosures: J Lee:</w:t>
      </w:r>
      <w:r w:rsidRPr="00D901B2">
        <w:rPr>
          <w:rFonts w:ascii="Arial" w:hAnsi="Arial" w:cs="Arial"/>
          <w:sz w:val="22"/>
          <w:szCs w:val="22"/>
        </w:rPr>
        <w:t xml:space="preserve"> has received speaker fees from Boehringer Ingelheim, GlaxoSmithKline, AstraZeneca and Sanofi</w:t>
      </w:r>
      <w:r w:rsidRPr="00D901B2">
        <w:rPr>
          <w:rFonts w:ascii="Arial" w:hAnsi="Arial" w:cs="Arial"/>
          <w:b/>
          <w:bCs/>
          <w:sz w:val="22"/>
          <w:szCs w:val="22"/>
        </w:rPr>
        <w:t xml:space="preserve">. C Domingo: </w:t>
      </w:r>
      <w:r w:rsidRPr="00D901B2">
        <w:rPr>
          <w:rFonts w:ascii="Arial" w:hAnsi="Arial" w:cs="Arial"/>
          <w:sz w:val="22"/>
          <w:szCs w:val="22"/>
        </w:rPr>
        <w:t xml:space="preserve">reports acting as consultant for GSK, AstraZeneca, Novartis and Sanofi and has received funding for travel or speaker fees from ALK, AstraZeneca, Boehringer Ingelheim, Chiesi, GSK, Menarini, Novartis, Stallergenes, MSD and Pfizer. </w:t>
      </w:r>
      <w:r w:rsidRPr="00D901B2">
        <w:rPr>
          <w:rFonts w:ascii="Arial" w:hAnsi="Arial" w:cs="Arial"/>
          <w:b/>
          <w:bCs/>
          <w:sz w:val="22"/>
          <w:szCs w:val="22"/>
        </w:rPr>
        <w:t xml:space="preserve">NA Hanania: </w:t>
      </w:r>
      <w:r w:rsidRPr="00D901B2">
        <w:rPr>
          <w:rFonts w:ascii="Arial" w:hAnsi="Arial" w:cs="Arial"/>
          <w:sz w:val="22"/>
          <w:szCs w:val="22"/>
        </w:rPr>
        <w:t xml:space="preserve">reports receiving personal fees from AstraZeneca, Genentech, Sanofi Genzyme, GSK, Mylan, Novartis, and Regeneron for serving as an advisor or consultant; he also received research support from AstraZeneca, Boehringer Ingelheim, Novartis, Sanofi Genzyme, Genentech, and GSK. </w:t>
      </w:r>
      <w:r w:rsidRPr="00D901B2">
        <w:rPr>
          <w:rFonts w:ascii="Arial" w:hAnsi="Arial" w:cs="Arial"/>
          <w:b/>
          <w:bCs/>
          <w:sz w:val="22"/>
          <w:szCs w:val="22"/>
        </w:rPr>
        <w:t xml:space="preserve">GW Canonica: </w:t>
      </w:r>
      <w:r w:rsidRPr="00D901B2">
        <w:rPr>
          <w:rFonts w:ascii="Arial" w:hAnsi="Arial" w:cs="Arial"/>
          <w:sz w:val="22"/>
          <w:szCs w:val="22"/>
        </w:rPr>
        <w:t xml:space="preserve">has previously received grant or research support from Boehringer Ingelheim, ALK-Abelló, and Stallergenes and honoraria or consultation fees from Menarini, GlaxoSmithKline, Sanofi, Teva, Hal, AstraZeneca, and Novartis. </w:t>
      </w:r>
      <w:r w:rsidRPr="00D901B2">
        <w:rPr>
          <w:rFonts w:ascii="Arial" w:hAnsi="Arial" w:cs="Arial"/>
          <w:b/>
          <w:bCs/>
          <w:sz w:val="22"/>
          <w:szCs w:val="22"/>
        </w:rPr>
        <w:t xml:space="preserve">DMG Halpin: </w:t>
      </w:r>
      <w:r w:rsidRPr="00D901B2">
        <w:rPr>
          <w:rFonts w:ascii="Arial" w:hAnsi="Arial" w:cs="Arial"/>
          <w:sz w:val="22"/>
          <w:szCs w:val="22"/>
        </w:rPr>
        <w:t>reports personal fees from AstraZeneca, personal fees and non-financial support from Boehringer Ingelheim, personal fees from Chiesi and GlaxoSmithKline, personal fees and non-financial support from Novartis, and personal fees from Pfizer and Sanofi.</w:t>
      </w:r>
      <w:r w:rsidRPr="00D901B2">
        <w:rPr>
          <w:rFonts w:ascii="Arial" w:hAnsi="Arial" w:cs="Arial"/>
          <w:b/>
          <w:bCs/>
          <w:sz w:val="22"/>
          <w:szCs w:val="22"/>
        </w:rPr>
        <w:t xml:space="preserve">NL Lugogo: </w:t>
      </w:r>
      <w:r w:rsidRPr="00D901B2">
        <w:rPr>
          <w:rFonts w:ascii="Arial" w:hAnsi="Arial" w:cs="Arial"/>
          <w:sz w:val="22"/>
          <w:szCs w:val="22"/>
        </w:rPr>
        <w:t>received consulting and advisory board fees from Amgen, AstraZeneca, Genentech, GlaxoSmithKline, Novartis, Regeneron, Sanofi, and Teva; honoraria for non-speakers’ bureau presentations from AstraZeneca and GlaxoSmithKline; travel support from AstraZeneca; and her institution received research support from Amgen, AstraZeneca, Avillion, Gossamer Bio, Genentech, GlaxoSmithKline, Regeneron, Sanofi, and Teva.</w:t>
      </w:r>
      <w:r w:rsidRPr="00D901B2">
        <w:rPr>
          <w:rFonts w:ascii="Arial" w:hAnsi="Arial" w:cs="Arial"/>
          <w:b/>
          <w:bCs/>
          <w:sz w:val="22"/>
          <w:szCs w:val="22"/>
        </w:rPr>
        <w:t xml:space="preserve"> CK Rhee: </w:t>
      </w:r>
      <w:r w:rsidRPr="00D901B2">
        <w:rPr>
          <w:rFonts w:ascii="Arial" w:hAnsi="Arial" w:cs="Arial"/>
          <w:sz w:val="22"/>
          <w:szCs w:val="22"/>
        </w:rPr>
        <w:t xml:space="preserve">reports personal fees from MSD, AstraZeneca, GSK Novartis, Takeda, Mundipharma, Boehringer-Ingelheim, Teva, Sanofi and Bayer, outside the submitted work. </w:t>
      </w:r>
      <w:r w:rsidRPr="00D901B2">
        <w:rPr>
          <w:rFonts w:ascii="Arial" w:hAnsi="Arial" w:cs="Arial"/>
          <w:b/>
          <w:bCs/>
          <w:sz w:val="22"/>
          <w:szCs w:val="22"/>
        </w:rPr>
        <w:t>S Nash:</w:t>
      </w:r>
      <w:r w:rsidRPr="00D901B2">
        <w:rPr>
          <w:rFonts w:ascii="Arial" w:hAnsi="Arial" w:cs="Arial"/>
          <w:sz w:val="22"/>
          <w:szCs w:val="22"/>
        </w:rPr>
        <w:t xml:space="preserve"> Regeneron Pharmaceuticals, Inc. — employee and shareholder. </w:t>
      </w:r>
      <w:r w:rsidRPr="00D901B2">
        <w:rPr>
          <w:rFonts w:ascii="Arial" w:hAnsi="Arial" w:cs="Arial"/>
          <w:b/>
          <w:bCs/>
          <w:sz w:val="22"/>
          <w:szCs w:val="22"/>
        </w:rPr>
        <w:t>Moody J</w:t>
      </w:r>
      <w:r w:rsidRPr="00D901B2">
        <w:rPr>
          <w:rFonts w:ascii="Arial" w:hAnsi="Arial" w:cs="Arial"/>
          <w:sz w:val="22"/>
          <w:szCs w:val="22"/>
        </w:rPr>
        <w:t xml:space="preserve">, </w:t>
      </w:r>
      <w:r w:rsidRPr="00D901B2">
        <w:rPr>
          <w:rFonts w:ascii="Arial" w:hAnsi="Arial" w:cs="Arial"/>
          <w:b/>
          <w:bCs/>
          <w:sz w:val="22"/>
          <w:szCs w:val="22"/>
        </w:rPr>
        <w:t xml:space="preserve">N Pandit-Abid: </w:t>
      </w:r>
      <w:r w:rsidRPr="00D901B2">
        <w:rPr>
          <w:rFonts w:ascii="Arial" w:hAnsi="Arial" w:cs="Arial"/>
          <w:sz w:val="22"/>
          <w:szCs w:val="22"/>
        </w:rPr>
        <w:t>Sanofi — employee, may hold stock and/or stock options in the company.</w:t>
      </w:r>
    </w:p>
    <w:p w14:paraId="0F83638A" w14:textId="77777777" w:rsidR="00D901B2" w:rsidRPr="000B24B8" w:rsidRDefault="00D901B2" w:rsidP="000B24B8">
      <w:pPr>
        <w:rPr>
          <w:rFonts w:ascii="Arial" w:hAnsi="Arial" w:cs="Arial"/>
          <w:sz w:val="22"/>
          <w:szCs w:val="22"/>
        </w:rPr>
      </w:pPr>
    </w:p>
    <w:sectPr w:rsidR="00D901B2" w:rsidRPr="000B2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B24B8"/>
    <w:rsid w:val="001564A4"/>
    <w:rsid w:val="001D63FE"/>
    <w:rsid w:val="0051574E"/>
    <w:rsid w:val="005C2CE8"/>
    <w:rsid w:val="008803FA"/>
    <w:rsid w:val="00B12E32"/>
    <w:rsid w:val="00D32813"/>
    <w:rsid w:val="00D901B2"/>
    <w:rsid w:val="00E0700F"/>
    <w:rsid w:val="00E971FB"/>
    <w:rsid w:val="00F032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BodyText">
    <w:name w:val="Body Text"/>
    <w:basedOn w:val="Normal"/>
    <w:link w:val="BodyTextChar"/>
    <w:uiPriority w:val="1"/>
    <w:qFormat/>
    <w:rsid w:val="005C2CE8"/>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5C2CE8"/>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journals.org/doi/10.7326/M15-0288" TargetMode="External"/><Relationship Id="rId3" Type="http://schemas.openxmlformats.org/officeDocument/2006/relationships/customXml" Target="../customXml/item3.xml"/><Relationship Id="rId7" Type="http://schemas.openxmlformats.org/officeDocument/2006/relationships/hyperlink" Target="https://www.acpjournals.org/doi/10.7326/M15-028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Chloe Clarke (Excerpta Medica)</cp:lastModifiedBy>
  <cp:revision>7</cp:revision>
  <dcterms:created xsi:type="dcterms:W3CDTF">2023-10-17T10:40:00Z</dcterms:created>
  <dcterms:modified xsi:type="dcterms:W3CDTF">2023-10-18T11:18:00Z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