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018CE3FD">
        <w:tc>
          <w:tcPr>
            <w:tcW w:w="8640" w:type="dxa"/>
            <w:shd w:val="clear" w:color="auto" w:fill="F2F2F2" w:themeFill="background1" w:themeFillShade="F2"/>
          </w:tcPr>
          <w:p w14:paraId="5D4D38DC" w14:textId="77777777" w:rsidR="00FD73E0" w:rsidRPr="00FD73E0" w:rsidRDefault="00FD73E0" w:rsidP="018CE3FD">
            <w:pPr>
              <w:jc w:val="both"/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lang w:val="en-CA"/>
              </w:rPr>
            </w:pPr>
            <w:r w:rsidRPr="00FD73E0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  <w:lang w:val="en-CA"/>
              </w:rPr>
              <w:t>Paper</w:t>
            </w:r>
          </w:p>
          <w:p w14:paraId="4FED29D5" w14:textId="32F8D9D6" w:rsidR="00C8423A" w:rsidRPr="00FD73E0" w:rsidRDefault="24EFA5DD" w:rsidP="00706DED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lang w:val="en-CA"/>
              </w:rPr>
            </w:pPr>
            <w:r w:rsidRPr="00FD73E0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CA"/>
              </w:rPr>
              <w:t>Walking backwards into the future of island communities</w:t>
            </w:r>
            <w:r w:rsidR="20A048C4" w:rsidRPr="00FD73E0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lang w:val="en-CA"/>
              </w:rPr>
              <w:t xml:space="preserve">: </w:t>
            </w:r>
            <w:r w:rsidR="20A048C4" w:rsidRPr="00FD73E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  <w:lang w:val="en-CA"/>
              </w:rPr>
              <w:t xml:space="preserve">Exploring Indigenous governance systems for </w:t>
            </w:r>
            <w:r w:rsidR="4C486208" w:rsidRPr="00FD73E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  <w:lang w:val="en-CA"/>
              </w:rPr>
              <w:t>climate (</w:t>
            </w:r>
            <w:proofErr w:type="spellStart"/>
            <w:r w:rsidR="4C486208" w:rsidRPr="00FD73E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  <w:lang w:val="en-CA"/>
              </w:rPr>
              <w:t>im</w:t>
            </w:r>
            <w:proofErr w:type="spellEnd"/>
            <w:r w:rsidR="4C486208" w:rsidRPr="00FD73E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  <w:lang w:val="en-CA"/>
              </w:rPr>
              <w:t>)mobilities</w:t>
            </w:r>
            <w:r w:rsidR="20A048C4" w:rsidRPr="00FD73E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  <w:lang w:val="en-CA"/>
              </w:rPr>
              <w:t xml:space="preserve"> in the seascape of </w:t>
            </w:r>
            <w:proofErr w:type="spellStart"/>
            <w:r w:rsidR="20A048C4" w:rsidRPr="00FD73E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  <w:lang w:val="en-CA"/>
              </w:rPr>
              <w:t>Qoma</w:t>
            </w:r>
            <w:proofErr w:type="spellEnd"/>
            <w:r w:rsidR="20A048C4" w:rsidRPr="00FD73E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  <w:lang w:val="en-CA"/>
              </w:rPr>
              <w:t xml:space="preserve"> island, Fiji</w:t>
            </w:r>
          </w:p>
          <w:p w14:paraId="3F7D1534" w14:textId="77777777" w:rsidR="00C8423A" w:rsidRPr="009C75AE" w:rsidRDefault="00C8423A" w:rsidP="0065012F">
            <w:pPr>
              <w:tabs>
                <w:tab w:val="left" w:pos="3386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018CE3FD">
        <w:trPr>
          <w:trHeight w:val="3124"/>
        </w:trPr>
        <w:tc>
          <w:tcPr>
            <w:tcW w:w="8640" w:type="dxa"/>
          </w:tcPr>
          <w:p w14:paraId="65A278DB" w14:textId="77777777" w:rsidR="00C8423A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18CE3FD">
              <w:rPr>
                <w:rFonts w:ascii="Arial" w:hAnsi="Arial" w:cs="Arial"/>
                <w:b/>
                <w:bCs/>
                <w:sz w:val="22"/>
                <w:szCs w:val="22"/>
              </w:rPr>
              <w:t>Introduction</w:t>
            </w:r>
          </w:p>
          <w:p w14:paraId="0E32C025" w14:textId="625D54EE" w:rsidR="0065012F" w:rsidRDefault="58D299C1" w:rsidP="018CE3FD">
            <w:pPr>
              <w:spacing w:before="240" w:after="240"/>
              <w:jc w:val="both"/>
            </w:pPr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Fisherfolk and seafaring communities possess deep knowledge and relationships with the sea, shaping complex, place-based governance systems to navigate change. However, adaptation governance for sea-level rise and ocean degradation remains rooted in modernist ontology (DePuy et al., 2021; Fischer et al., 2022). This disregards the distinct governance systems and ontologies that underpin just and sustainable futures for island and reef communities.</w:t>
            </w:r>
          </w:p>
          <w:p w14:paraId="4806BFDB" w14:textId="609EAF8F" w:rsidR="0065012F" w:rsidRDefault="58D299C1" w:rsidP="018CE3FD">
            <w:pPr>
              <w:spacing w:before="240" w:after="240"/>
              <w:jc w:val="both"/>
            </w:pPr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The resistance of relocation in coastal communities represents a critical case to explore these issues (Yee et al., 2020). Yet, there is limited to no literature on the governance of this form of ‘immobility’.</w:t>
            </w:r>
            <w:r w:rsidR="7C7D90FE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To envision the future of island communities, we must look to the past, drawing governance strategies from ancestral knowledge and storytelling. We advocate for climate action rooted in place-based and relational responsibilities, obligations, and roles that have long guided island communities in the ‘sea of islands.’</w:t>
            </w:r>
          </w:p>
          <w:p w14:paraId="5DE13B32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18CE3FD">
              <w:rPr>
                <w:rFonts w:ascii="Arial" w:hAnsi="Arial" w:cs="Arial"/>
                <w:b/>
                <w:bCs/>
                <w:sz w:val="22"/>
                <w:szCs w:val="22"/>
              </w:rPr>
              <w:t>Objectives</w:t>
            </w:r>
          </w:p>
          <w:p w14:paraId="1B5D8301" w14:textId="4383FA64" w:rsidR="0065012F" w:rsidRDefault="45AE510A" w:rsidP="018CE3FD">
            <w:pPr>
              <w:spacing w:before="240" w:after="240"/>
              <w:jc w:val="both"/>
            </w:pPr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u w:val="single"/>
                <w:lang w:val="en-CA"/>
              </w:rPr>
              <w:t>How are traditional governance systems of the seascape facilitating adaptation to climate change in cases of voluntary immobility?</w:t>
            </w:r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 </w:t>
            </w:r>
          </w:p>
          <w:p w14:paraId="23A86C7F" w14:textId="5D324BEE" w:rsidR="0065012F" w:rsidRDefault="5720E599" w:rsidP="018CE3FD">
            <w:pPr>
              <w:spacing w:before="240" w:after="240"/>
              <w:jc w:val="both"/>
            </w:pPr>
            <w:proofErr w:type="spellStart"/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i</w:t>
            </w:r>
            <w:proofErr w:type="spellEnd"/>
            <w:r w:rsidR="3347B5D8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)</w:t>
            </w:r>
            <w:r w:rsidR="45AE510A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 Explore kinship systems in place that are utilized to strengthen adaptation strategies.</w:t>
            </w:r>
          </w:p>
          <w:p w14:paraId="418B776C" w14:textId="2079BCA7" w:rsidR="0065012F" w:rsidRDefault="2DE5E2B0" w:rsidP="018CE3FD">
            <w:pPr>
              <w:spacing w:before="240" w:after="240"/>
              <w:jc w:val="both"/>
            </w:pPr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ii</w:t>
            </w:r>
            <w:r w:rsidR="698768B5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) </w:t>
            </w:r>
            <w:r w:rsidR="45AE510A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Identify enablers and barriers for the continuation of traditional governance systems</w:t>
            </w:r>
            <w:r w:rsidR="754FDBCA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.</w:t>
            </w:r>
          </w:p>
          <w:p w14:paraId="338CF7FC" w14:textId="28D2ACA8" w:rsidR="0065012F" w:rsidRDefault="6737BC3D" w:rsidP="018CE3FD">
            <w:pPr>
              <w:jc w:val="both"/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  <w:r w:rsidRPr="018CE3FD">
              <w:rPr>
                <w:rFonts w:ascii="Arial" w:eastAsia="Arial" w:hAnsi="Arial" w:cs="Arial"/>
                <w:sz w:val="22"/>
                <w:szCs w:val="22"/>
                <w:lang w:val="en-CA"/>
              </w:rPr>
              <w:t>Iii)</w:t>
            </w:r>
            <w:r w:rsidR="3FF9652A" w:rsidRPr="018CE3FD">
              <w:rPr>
                <w:rFonts w:ascii="Arial" w:eastAsia="Arial" w:hAnsi="Arial" w:cs="Arial"/>
                <w:sz w:val="22"/>
                <w:szCs w:val="22"/>
                <w:lang w:val="en-CA"/>
              </w:rPr>
              <w:t xml:space="preserve"> Integrate findings to inform adaptation policy centered </w:t>
            </w:r>
            <w:r w:rsidR="5951605D" w:rsidRPr="018CE3FD">
              <w:rPr>
                <w:rFonts w:ascii="Arial" w:eastAsia="Arial" w:hAnsi="Arial" w:cs="Arial"/>
                <w:sz w:val="22"/>
                <w:szCs w:val="22"/>
                <w:lang w:val="en-CA"/>
              </w:rPr>
              <w:t>around</w:t>
            </w:r>
            <w:r w:rsidR="3FF9652A" w:rsidRPr="018CE3FD">
              <w:rPr>
                <w:rFonts w:ascii="Arial" w:eastAsia="Arial" w:hAnsi="Arial" w:cs="Arial"/>
                <w:sz w:val="22"/>
                <w:szCs w:val="22"/>
                <w:lang w:val="en-CA"/>
              </w:rPr>
              <w:t xml:space="preserve"> Indigenous governance systems. </w:t>
            </w:r>
          </w:p>
          <w:p w14:paraId="6EB116EC" w14:textId="7E2914FF" w:rsidR="0065012F" w:rsidRDefault="0065012F" w:rsidP="018CE3F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7D2D05" w14:textId="7C411619" w:rsidR="0065012F" w:rsidRDefault="00906B39" w:rsidP="018CE3F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18CE3FD">
              <w:rPr>
                <w:rFonts w:ascii="Arial" w:hAnsi="Arial" w:cs="Arial"/>
                <w:b/>
                <w:bCs/>
                <w:sz w:val="22"/>
                <w:szCs w:val="22"/>
              </w:rPr>
              <w:t>Methodology</w:t>
            </w:r>
          </w:p>
          <w:p w14:paraId="5E49D84F" w14:textId="27AA8B72" w:rsidR="018CE3FD" w:rsidRDefault="018CE3FD" w:rsidP="018CE3F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6DA1874" w14:textId="67F72B3B" w:rsidR="60588450" w:rsidRDefault="60588450" w:rsidP="018CE3FD">
            <w:pPr>
              <w:jc w:val="both"/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Our study takes place on </w:t>
            </w:r>
            <w:proofErr w:type="spellStart"/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Qoma</w:t>
            </w:r>
            <w:proofErr w:type="spellEnd"/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 Island, in the province of </w:t>
            </w:r>
            <w:proofErr w:type="spellStart"/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Tailevu</w:t>
            </w:r>
            <w:proofErr w:type="spellEnd"/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, Fiji. We adopt </w:t>
            </w:r>
            <w:r w:rsidR="03D19F22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the Vanua Research Framework (</w:t>
            </w:r>
            <w:proofErr w:type="spellStart"/>
            <w:r w:rsidR="03D19F22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Nabobo</w:t>
            </w:r>
            <w:proofErr w:type="spellEnd"/>
            <w:r w:rsidR="03D19F22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-</w:t>
            </w:r>
            <w:proofErr w:type="gramStart"/>
            <w:r w:rsidR="03D19F22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Baba,</w:t>
            </w:r>
            <w:r w:rsidR="2A601970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,</w:t>
            </w:r>
            <w:proofErr w:type="gramEnd"/>
            <w:r w:rsidR="2A601970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 2006) and </w:t>
            </w:r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a methodology of ‘walking backwards into the future’ through engaging with oral narratives and storytelling, emerging from </w:t>
            </w:r>
            <w:proofErr w:type="spellStart"/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talanoa</w:t>
            </w:r>
            <w:proofErr w:type="spellEnd"/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 sessions with elders and young on </w:t>
            </w:r>
            <w:proofErr w:type="spellStart"/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Qoma</w:t>
            </w:r>
            <w:proofErr w:type="spellEnd"/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 island. Additionally, we conduct transect walks and dives, and take part in village climate action initiatives, to better understand and document everyday practices of leaning on the past to shape and negotiate futures.</w:t>
            </w:r>
          </w:p>
          <w:p w14:paraId="015EFC6C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18CE3FD">
              <w:rPr>
                <w:rFonts w:ascii="Arial" w:hAnsi="Arial" w:cs="Arial"/>
                <w:b/>
                <w:bCs/>
                <w:sz w:val="22"/>
                <w:szCs w:val="22"/>
              </w:rPr>
              <w:t>Findings</w:t>
            </w:r>
          </w:p>
          <w:p w14:paraId="7DD3DAA8" w14:textId="07EAFFCE" w:rsidR="6BCE9A6F" w:rsidRDefault="6BCE9A6F" w:rsidP="018CE3FD">
            <w:pPr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</w:pPr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We find innovative, place-based, governance systems of land and reefs, passed down through stories from ancestors and building on longstanding kinship systems. For example, the “Kana </w:t>
            </w:r>
            <w:proofErr w:type="spellStart"/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Veicurumaki</w:t>
            </w:r>
            <w:proofErr w:type="spellEnd"/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”, a governance system of customary fishing grounds, promotes stewardship and shared utilization of </w:t>
            </w:r>
            <w:r w:rsidR="7AA8F6D9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ocean </w:t>
            </w:r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resources building on obligations of care within the Vanua. </w:t>
            </w:r>
          </w:p>
          <w:p w14:paraId="0605E663" w14:textId="0BF33EC2" w:rsidR="6BCE9A6F" w:rsidRDefault="6BCE9A6F" w:rsidP="018CE3FD">
            <w:pPr>
              <w:spacing w:before="240" w:after="240"/>
              <w:jc w:val="both"/>
            </w:pPr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lastRenderedPageBreak/>
              <w:t xml:space="preserve">Adaptation strategies that enable the community to stay in place also include everyday micro-mobilities between islands to land accessed through kinship systems. </w:t>
            </w:r>
            <w:r w:rsidR="4F0D925F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Community members</w:t>
            </w:r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proofErr w:type="gramStart"/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are able to</w:t>
            </w:r>
            <w:proofErr w:type="gramEnd"/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 overcome the limits of their own island by accessing land for plantation of crops within other lands, made possible through stories passed down from elders about relations of care. </w:t>
            </w:r>
          </w:p>
          <w:p w14:paraId="368BE359" w14:textId="3AC76283" w:rsidR="6BCE9A6F" w:rsidRDefault="6BCE9A6F" w:rsidP="018CE3FD">
            <w:pPr>
              <w:spacing w:before="240" w:after="24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</w:pPr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We demonstrate how </w:t>
            </w:r>
            <w:proofErr w:type="gramStart"/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these kinship</w:t>
            </w:r>
            <w:proofErr w:type="gramEnd"/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 systems emerge as everyday practices </w:t>
            </w:r>
            <w:r w:rsidR="393F2279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of</w:t>
            </w:r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 adaptation and form the backbone of roles and obligations of the governance system of the Vanua. </w:t>
            </w:r>
            <w:r w:rsidR="5D77ECBE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However</w:t>
            </w:r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, these systems are </w:t>
            </w:r>
            <w:r w:rsidR="18C30201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challeng</w:t>
            </w:r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ed</w:t>
            </w:r>
            <w:r w:rsidR="0140DB1F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 by</w:t>
            </w:r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r w:rsidR="7AF360D5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climate extreme events</w:t>
            </w:r>
            <w:r w:rsidR="730F35BD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 and</w:t>
            </w:r>
            <w:r w:rsidR="7AF360D5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 resource scarcity</w:t>
            </w:r>
            <w:r w:rsidR="20D08A6E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 as well as top-down </w:t>
            </w:r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climate and labour mobility schemes, </w:t>
            </w:r>
            <w:r w:rsidR="1A213E44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resulting</w:t>
            </w:r>
            <w:r w:rsidR="6F2B36B1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 in</w:t>
            </w:r>
            <w:r w:rsidR="1A213E44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 </w:t>
            </w:r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the</w:t>
            </w:r>
            <w:r w:rsidR="31ECC4FE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 disruption of intergenerational </w:t>
            </w:r>
            <w:r w:rsidR="40B9EF5B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governance of the seascape</w:t>
            </w:r>
            <w:r w:rsidR="31ECC4FE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. </w:t>
            </w:r>
          </w:p>
          <w:p w14:paraId="26DC99F1" w14:textId="77777777" w:rsidR="0065012F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18CE3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Significance of the work for policy and practice </w:t>
            </w:r>
          </w:p>
          <w:p w14:paraId="43CB2428" w14:textId="04BD8F53" w:rsidR="00BE58D6" w:rsidRDefault="52028653" w:rsidP="018CE3FD">
            <w:pPr>
              <w:jc w:val="both"/>
              <w:rPr>
                <w:rFonts w:ascii="Arial" w:eastAsia="Arial" w:hAnsi="Arial" w:cs="Arial"/>
                <w:sz w:val="22"/>
                <w:szCs w:val="22"/>
                <w:lang w:val="en-CA"/>
              </w:rPr>
            </w:pPr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We advocate for a ‘walking backwards into the future’ approach to adaptation, </w:t>
            </w:r>
            <w:r w:rsidR="4C8F284C"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>restoring</w:t>
            </w:r>
            <w:r w:rsidRPr="018CE3FD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CA"/>
              </w:rPr>
              <w:t xml:space="preserve"> kinship systems, oral histories, and ancestral knowledge in policy and practice. Reviving these systems strengthens cultural continuity, relational security, and locally grounded adaptation, ensuring policies align with Indigenous governance systems.</w:t>
            </w:r>
          </w:p>
          <w:p w14:paraId="1A078683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AA1BB4" w14:textId="77777777" w:rsidR="00BE58D6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0D7047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8AE499"/>
    <w:multiLevelType w:val="hybridMultilevel"/>
    <w:tmpl w:val="6EF07DFC"/>
    <w:lvl w:ilvl="0" w:tplc="9F7008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F548C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4600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D63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543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DE1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22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89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C83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880282">
    <w:abstractNumId w:val="3"/>
  </w:num>
  <w:num w:numId="2" w16cid:durableId="416439391">
    <w:abstractNumId w:val="0"/>
  </w:num>
  <w:num w:numId="3" w16cid:durableId="1027095654">
    <w:abstractNumId w:val="2"/>
  </w:num>
  <w:num w:numId="4" w16cid:durableId="1316374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454E9"/>
    <w:rsid w:val="00105E39"/>
    <w:rsid w:val="001136DC"/>
    <w:rsid w:val="00132AE5"/>
    <w:rsid w:val="00155315"/>
    <w:rsid w:val="00247C60"/>
    <w:rsid w:val="00256963"/>
    <w:rsid w:val="002E3AA3"/>
    <w:rsid w:val="00317356"/>
    <w:rsid w:val="0034503D"/>
    <w:rsid w:val="00354C31"/>
    <w:rsid w:val="00375B20"/>
    <w:rsid w:val="00386D01"/>
    <w:rsid w:val="004049E7"/>
    <w:rsid w:val="00462B90"/>
    <w:rsid w:val="004828A0"/>
    <w:rsid w:val="004B69C7"/>
    <w:rsid w:val="004D193B"/>
    <w:rsid w:val="004F4CE8"/>
    <w:rsid w:val="004F5C81"/>
    <w:rsid w:val="0053222C"/>
    <w:rsid w:val="005469BD"/>
    <w:rsid w:val="00550B17"/>
    <w:rsid w:val="005854B8"/>
    <w:rsid w:val="0065012F"/>
    <w:rsid w:val="0068043B"/>
    <w:rsid w:val="00681CA7"/>
    <w:rsid w:val="008235E8"/>
    <w:rsid w:val="008773DF"/>
    <w:rsid w:val="008B01BA"/>
    <w:rsid w:val="008B50A0"/>
    <w:rsid w:val="008C0C35"/>
    <w:rsid w:val="008C22AD"/>
    <w:rsid w:val="008C2633"/>
    <w:rsid w:val="008E3D8D"/>
    <w:rsid w:val="008F2F93"/>
    <w:rsid w:val="009010B0"/>
    <w:rsid w:val="00906B39"/>
    <w:rsid w:val="00963443"/>
    <w:rsid w:val="009C374A"/>
    <w:rsid w:val="009F4EA0"/>
    <w:rsid w:val="00A83CA2"/>
    <w:rsid w:val="00B026E8"/>
    <w:rsid w:val="00BA0872"/>
    <w:rsid w:val="00BA26BB"/>
    <w:rsid w:val="00BC6810"/>
    <w:rsid w:val="00BE0B4D"/>
    <w:rsid w:val="00BE58D6"/>
    <w:rsid w:val="00C26081"/>
    <w:rsid w:val="00C4126D"/>
    <w:rsid w:val="00C76C99"/>
    <w:rsid w:val="00C8423A"/>
    <w:rsid w:val="00CE53FE"/>
    <w:rsid w:val="00D716AD"/>
    <w:rsid w:val="00DB7929"/>
    <w:rsid w:val="00DD1BB3"/>
    <w:rsid w:val="00E612FF"/>
    <w:rsid w:val="00EB1B31"/>
    <w:rsid w:val="00F818D6"/>
    <w:rsid w:val="00FA372B"/>
    <w:rsid w:val="00FD73E0"/>
    <w:rsid w:val="0140DB1F"/>
    <w:rsid w:val="018CE3FD"/>
    <w:rsid w:val="03D19F22"/>
    <w:rsid w:val="05BE085A"/>
    <w:rsid w:val="0ACB6CC1"/>
    <w:rsid w:val="0B1377FB"/>
    <w:rsid w:val="0C8731E6"/>
    <w:rsid w:val="12793DAC"/>
    <w:rsid w:val="1279D4D3"/>
    <w:rsid w:val="175FADFB"/>
    <w:rsid w:val="17A3D92A"/>
    <w:rsid w:val="18197303"/>
    <w:rsid w:val="18C30201"/>
    <w:rsid w:val="1A213E44"/>
    <w:rsid w:val="1A30B005"/>
    <w:rsid w:val="1DB8A5D9"/>
    <w:rsid w:val="20A048C4"/>
    <w:rsid w:val="20D08A6E"/>
    <w:rsid w:val="24EFA5DD"/>
    <w:rsid w:val="25078F1D"/>
    <w:rsid w:val="281F5126"/>
    <w:rsid w:val="29F963B1"/>
    <w:rsid w:val="2A601970"/>
    <w:rsid w:val="2AA97C51"/>
    <w:rsid w:val="2AB4359F"/>
    <w:rsid w:val="2DE5E2B0"/>
    <w:rsid w:val="31B7DB2F"/>
    <w:rsid w:val="31ECC4FE"/>
    <w:rsid w:val="3347B5D8"/>
    <w:rsid w:val="339A2169"/>
    <w:rsid w:val="391203E3"/>
    <w:rsid w:val="393F2279"/>
    <w:rsid w:val="39FA7504"/>
    <w:rsid w:val="39FFF584"/>
    <w:rsid w:val="3B3CC6E0"/>
    <w:rsid w:val="3B9DD563"/>
    <w:rsid w:val="3D765CC5"/>
    <w:rsid w:val="3FF9652A"/>
    <w:rsid w:val="4042245A"/>
    <w:rsid w:val="40B9EF5B"/>
    <w:rsid w:val="41495D90"/>
    <w:rsid w:val="42111D4A"/>
    <w:rsid w:val="45AE510A"/>
    <w:rsid w:val="47541936"/>
    <w:rsid w:val="486B4AD3"/>
    <w:rsid w:val="4C486208"/>
    <w:rsid w:val="4C8F284C"/>
    <w:rsid w:val="4F0D925F"/>
    <w:rsid w:val="50784DA7"/>
    <w:rsid w:val="50F2CAA6"/>
    <w:rsid w:val="52028653"/>
    <w:rsid w:val="55231867"/>
    <w:rsid w:val="5720E599"/>
    <w:rsid w:val="58D299C1"/>
    <w:rsid w:val="5951605D"/>
    <w:rsid w:val="59D03A0B"/>
    <w:rsid w:val="5BF7D9D2"/>
    <w:rsid w:val="5D77ECBE"/>
    <w:rsid w:val="5DF28A69"/>
    <w:rsid w:val="5E36D23A"/>
    <w:rsid w:val="60588450"/>
    <w:rsid w:val="649F9624"/>
    <w:rsid w:val="65CDCEF6"/>
    <w:rsid w:val="665B5717"/>
    <w:rsid w:val="6737BC3D"/>
    <w:rsid w:val="677EF6C1"/>
    <w:rsid w:val="698768B5"/>
    <w:rsid w:val="6BCE9A6F"/>
    <w:rsid w:val="6D4EE266"/>
    <w:rsid w:val="6F1F96AF"/>
    <w:rsid w:val="6F2B36B1"/>
    <w:rsid w:val="6F589A84"/>
    <w:rsid w:val="713CC2CE"/>
    <w:rsid w:val="730F35BD"/>
    <w:rsid w:val="754FDBCA"/>
    <w:rsid w:val="7743E10F"/>
    <w:rsid w:val="7792A00D"/>
    <w:rsid w:val="798F220B"/>
    <w:rsid w:val="7AA8F6D9"/>
    <w:rsid w:val="7AF360D5"/>
    <w:rsid w:val="7C7D90FE"/>
    <w:rsid w:val="7EA8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schemas.microsoft.com/office/infopath/2007/PartnerControls"/>
    <ds:schemaRef ds:uri="http://schemas.microsoft.com/office/2006/metadata/properties"/>
    <ds:schemaRef ds:uri="9c8a2b7b-0bee-4c48-b0a6-23db8982d3bc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cab52c9b-ab33-4221-8af9-54f8f2b86a80"/>
    <ds:schemaRef ds:uri="6911e96c-4cc4-42d5-8e43-f93924cf6a0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B44396A-FFC2-4DE7-B6F2-84408D00B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7</cp:revision>
  <dcterms:created xsi:type="dcterms:W3CDTF">2024-09-16T20:56:00Z</dcterms:created>
  <dcterms:modified xsi:type="dcterms:W3CDTF">2025-08-10T01:58:00Z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