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6D5505FC" w14:textId="77777777" w:rsidR="00E5584A" w:rsidRPr="00E5584A" w:rsidRDefault="00E5584A" w:rsidP="003360DB">
            <w:pPr>
              <w:jc w:val="both"/>
              <w:rPr>
                <w:rFonts w:ascii="Arial" w:hAnsi="Arial" w:cs="Arial"/>
                <w:bCs/>
                <w:i/>
                <w:iCs/>
                <w:sz w:val="22"/>
                <w:szCs w:val="22"/>
              </w:rPr>
            </w:pPr>
            <w:r w:rsidRPr="00E5584A">
              <w:rPr>
                <w:rFonts w:ascii="Arial" w:hAnsi="Arial" w:cs="Arial"/>
                <w:bCs/>
                <w:i/>
                <w:iCs/>
                <w:sz w:val="22"/>
                <w:szCs w:val="22"/>
              </w:rPr>
              <w:t>Paper</w:t>
            </w:r>
          </w:p>
          <w:p w14:paraId="5A8E97A2" w14:textId="77777777" w:rsidR="00C8423A" w:rsidRDefault="003360DB" w:rsidP="003360DB">
            <w:pPr>
              <w:jc w:val="both"/>
              <w:rPr>
                <w:rFonts w:ascii="Arial" w:hAnsi="Arial" w:cs="Arial"/>
                <w:b/>
                <w:sz w:val="22"/>
                <w:szCs w:val="22"/>
              </w:rPr>
            </w:pPr>
            <w:r w:rsidRPr="003360DB">
              <w:rPr>
                <w:rFonts w:ascii="Arial" w:hAnsi="Arial" w:cs="Arial"/>
                <w:b/>
                <w:sz w:val="22"/>
                <w:szCs w:val="22"/>
              </w:rPr>
              <w:t>Digital Twin for Climate Resilience: A New Economic Model for Community-Driven Adaptation, Smart Water Management, and Blue-Green Infrastructure Integration in Tropical Watersheds</w:t>
            </w:r>
          </w:p>
          <w:p w14:paraId="3F7D1534" w14:textId="454E7115" w:rsidR="00E5584A" w:rsidRPr="009C75AE" w:rsidRDefault="00E5584A" w:rsidP="003360DB">
            <w:pPr>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5B83AD76" w14:textId="06A4DB01" w:rsidR="00C8423A" w:rsidRDefault="00C8423A" w:rsidP="003360DB">
            <w:pPr>
              <w:rPr>
                <w:rFonts w:ascii="Arial" w:hAnsi="Arial" w:cs="Arial"/>
                <w:bCs/>
                <w:sz w:val="22"/>
                <w:szCs w:val="22"/>
              </w:rPr>
            </w:pPr>
          </w:p>
          <w:p w14:paraId="65A278DB" w14:textId="77777777" w:rsidR="00C8423A" w:rsidRDefault="00C8423A" w:rsidP="003360DB">
            <w:pPr>
              <w:rPr>
                <w:rFonts w:ascii="Arial" w:hAnsi="Arial" w:cs="Arial"/>
                <w:b/>
                <w:sz w:val="22"/>
                <w:szCs w:val="22"/>
              </w:rPr>
            </w:pPr>
          </w:p>
          <w:p w14:paraId="62F7F343" w14:textId="77777777" w:rsidR="003360DB" w:rsidRDefault="0065012F" w:rsidP="003360DB">
            <w:pPr>
              <w:rPr>
                <w:rFonts w:ascii="Arial" w:hAnsi="Arial" w:cs="Arial"/>
                <w:b/>
                <w:sz w:val="22"/>
                <w:szCs w:val="22"/>
              </w:rPr>
            </w:pPr>
            <w:r w:rsidRPr="0065012F">
              <w:rPr>
                <w:rFonts w:ascii="Arial" w:hAnsi="Arial" w:cs="Arial"/>
                <w:b/>
                <w:sz w:val="22"/>
                <w:szCs w:val="22"/>
              </w:rPr>
              <w:t>Introduction</w:t>
            </w:r>
          </w:p>
          <w:p w14:paraId="131A5F05" w14:textId="0BB094BD" w:rsidR="0065012F" w:rsidRPr="003360DB" w:rsidRDefault="003360DB" w:rsidP="003360DB">
            <w:pPr>
              <w:rPr>
                <w:rFonts w:ascii="Arial" w:hAnsi="Arial" w:cs="Arial"/>
                <w:bCs/>
                <w:sz w:val="22"/>
                <w:szCs w:val="22"/>
              </w:rPr>
            </w:pPr>
            <w:r w:rsidRPr="003360DB">
              <w:rPr>
                <w:rFonts w:ascii="Arial" w:hAnsi="Arial" w:cs="Arial"/>
                <w:bCs/>
                <w:sz w:val="22"/>
                <w:szCs w:val="22"/>
              </w:rPr>
              <w:t>Climate change is intensifying hydrologic variability, exacerbating flood risks, water scarcity, and urban heat stress. However, adaptation efforts remain fragmented, reactive, and underfunded. This paper introduces the Digital Twin Economy, a groundbreaking model that integrates real-time hydrological data, predictive analytics, and economic incentives to scale blue-green infrastructure (BGI) and empower communities as active climate stewards.</w:t>
            </w:r>
            <w:r w:rsidRPr="003360DB">
              <w:rPr>
                <w:rFonts w:ascii="Arial" w:hAnsi="Arial" w:cs="Arial"/>
                <w:bCs/>
                <w:sz w:val="22"/>
                <w:szCs w:val="22"/>
              </w:rPr>
              <w:br/>
            </w:r>
          </w:p>
          <w:p w14:paraId="5DE13B32" w14:textId="77777777" w:rsidR="0065012F" w:rsidRDefault="0065012F" w:rsidP="003360DB">
            <w:pPr>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09D06F58" w14:textId="7A1F9F85" w:rsidR="003360DB" w:rsidRPr="003360DB" w:rsidRDefault="003360DB" w:rsidP="003360DB">
            <w:pPr>
              <w:rPr>
                <w:rFonts w:ascii="Arial" w:hAnsi="Arial" w:cs="Arial"/>
                <w:bCs/>
                <w:sz w:val="22"/>
                <w:szCs w:val="22"/>
              </w:rPr>
            </w:pPr>
            <w:r w:rsidRPr="003360DB">
              <w:rPr>
                <w:rFonts w:ascii="Arial" w:hAnsi="Arial" w:cs="Arial"/>
                <w:bCs/>
                <w:sz w:val="22"/>
                <w:szCs w:val="22"/>
              </w:rPr>
              <w:t>This study aims to develop a data-driven economic model that quantifies the cost-benefit impacts of community-led climate adaptation, demonstrating how digital twins and IoT sensor networks can optimize urban stormwater management, flood prevention, and ecosystem restoration. It establishes a new economic framework that compensates communities for proactive environmental stewardship, linking climate action to urban health, economic resilience, and social well-being.</w:t>
            </w:r>
          </w:p>
          <w:p w14:paraId="7DF7D437" w14:textId="77777777" w:rsidR="0065012F" w:rsidRDefault="0065012F" w:rsidP="003360DB">
            <w:pPr>
              <w:rPr>
                <w:rFonts w:ascii="Arial" w:hAnsi="Arial" w:cs="Arial"/>
                <w:b/>
                <w:sz w:val="22"/>
                <w:szCs w:val="22"/>
              </w:rPr>
            </w:pPr>
          </w:p>
          <w:p w14:paraId="457D2D05" w14:textId="4552866C" w:rsidR="0065012F" w:rsidRDefault="00906B39" w:rsidP="003360DB">
            <w:pPr>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593FCAB6" w14:textId="63962D22" w:rsidR="003360DB" w:rsidRPr="003360DB" w:rsidRDefault="003360DB" w:rsidP="003360DB">
            <w:pPr>
              <w:rPr>
                <w:rFonts w:ascii="Arial" w:hAnsi="Arial" w:cs="Arial"/>
                <w:bCs/>
                <w:sz w:val="22"/>
                <w:szCs w:val="22"/>
              </w:rPr>
            </w:pPr>
            <w:r w:rsidRPr="003360DB">
              <w:rPr>
                <w:rFonts w:ascii="Arial" w:hAnsi="Arial" w:cs="Arial"/>
                <w:bCs/>
                <w:sz w:val="22"/>
                <w:szCs w:val="22"/>
              </w:rPr>
              <w:t xml:space="preserve">The Urban Hydrologics Digital Twin creates a real-time, data-driven replica of tropical watersheds, integrating IoT sensor networks, Earth Observation data, and high-resolution hydrological models to monitor flood risk, water quality, and stormwater infrastructure performance. AI-driven flood forecasting and real-time hydrologic modelling </w:t>
            </w:r>
            <w:r w:rsidR="008E4AF4">
              <w:rPr>
                <w:rFonts w:ascii="Arial" w:hAnsi="Arial" w:cs="Arial"/>
                <w:bCs/>
                <w:sz w:val="22"/>
                <w:szCs w:val="22"/>
              </w:rPr>
              <w:t xml:space="preserve">provide recommendations to </w:t>
            </w:r>
            <w:r w:rsidRPr="003360DB">
              <w:rPr>
                <w:rFonts w:ascii="Arial" w:hAnsi="Arial" w:cs="Arial"/>
                <w:bCs/>
                <w:sz w:val="22"/>
                <w:szCs w:val="22"/>
              </w:rPr>
              <w:t xml:space="preserve">optimize urban water management, while an economic valuation framework quantifies direct and indirect benefits, including flood damage reduction, improved air quality, urban cooling, and increased property values. Additionally, climate stewardship efforts such as rain garden maintenance, </w:t>
            </w:r>
            <w:r w:rsidR="008E4AF4">
              <w:rPr>
                <w:rFonts w:ascii="Arial" w:hAnsi="Arial" w:cs="Arial"/>
                <w:bCs/>
                <w:sz w:val="22"/>
                <w:szCs w:val="22"/>
              </w:rPr>
              <w:t>reforestation efforts</w:t>
            </w:r>
            <w:r w:rsidRPr="003360DB">
              <w:rPr>
                <w:rFonts w:ascii="Arial" w:hAnsi="Arial" w:cs="Arial"/>
                <w:bCs/>
                <w:sz w:val="22"/>
                <w:szCs w:val="22"/>
              </w:rPr>
              <w:t xml:space="preserve">, </w:t>
            </w:r>
            <w:r w:rsidR="008E4AF4">
              <w:rPr>
                <w:rFonts w:ascii="Arial" w:hAnsi="Arial" w:cs="Arial"/>
                <w:bCs/>
                <w:sz w:val="22"/>
                <w:szCs w:val="22"/>
              </w:rPr>
              <w:t xml:space="preserve">grey to blue-green drainage retrofits, </w:t>
            </w:r>
            <w:r w:rsidRPr="003360DB">
              <w:rPr>
                <w:rFonts w:ascii="Arial" w:hAnsi="Arial" w:cs="Arial"/>
                <w:bCs/>
                <w:sz w:val="22"/>
                <w:szCs w:val="22"/>
              </w:rPr>
              <w:t xml:space="preserve">and waterway restoration are monetized, transforming </w:t>
            </w:r>
            <w:r w:rsidR="008E4AF4">
              <w:rPr>
                <w:rFonts w:ascii="Arial" w:hAnsi="Arial" w:cs="Arial"/>
                <w:bCs/>
                <w:sz w:val="22"/>
                <w:szCs w:val="22"/>
              </w:rPr>
              <w:t>environmental stewardship, climate action, and volunteer work</w:t>
            </w:r>
            <w:r w:rsidRPr="003360DB">
              <w:rPr>
                <w:rFonts w:ascii="Arial" w:hAnsi="Arial" w:cs="Arial"/>
                <w:bCs/>
                <w:sz w:val="22"/>
                <w:szCs w:val="22"/>
              </w:rPr>
              <w:t xml:space="preserve"> into a new economic driver for climate resilience.</w:t>
            </w:r>
          </w:p>
          <w:p w14:paraId="532F9981" w14:textId="77777777" w:rsidR="003360DB" w:rsidRDefault="003360DB" w:rsidP="003360DB">
            <w:pPr>
              <w:rPr>
                <w:rFonts w:ascii="Arial" w:hAnsi="Arial" w:cs="Arial"/>
                <w:b/>
                <w:sz w:val="22"/>
                <w:szCs w:val="22"/>
              </w:rPr>
            </w:pPr>
          </w:p>
          <w:p w14:paraId="62DAA8AE" w14:textId="77777777" w:rsidR="0065012F" w:rsidRDefault="0065012F" w:rsidP="003360DB">
            <w:pPr>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026F6852" w14:textId="65320F85" w:rsidR="003360DB" w:rsidRPr="003360DB" w:rsidRDefault="003360DB" w:rsidP="003360DB">
            <w:pPr>
              <w:rPr>
                <w:rFonts w:ascii="Arial" w:hAnsi="Arial" w:cs="Arial"/>
                <w:bCs/>
                <w:sz w:val="22"/>
                <w:szCs w:val="22"/>
              </w:rPr>
            </w:pPr>
            <w:r w:rsidRPr="003360DB">
              <w:rPr>
                <w:rFonts w:ascii="Arial" w:hAnsi="Arial" w:cs="Arial"/>
                <w:bCs/>
                <w:sz w:val="22"/>
                <w:szCs w:val="22"/>
              </w:rPr>
              <w:t>Pilot implementations in tropical island cities and flood-prone watersheds demonstrate that integrating community-driven adaptation into local economic systems generates financial savings through avoided flood damages, lower healthcare costs, and reduced infrastructure maintenance. It improves urban liveability by enhancing cooling, air quality, and ecosystem services, while also providing a scalable governance framework that aligns municipalities, real estate developers, insurers, and climate investors toward scaling nature-based solutions as critical national security infrastructure.</w:t>
            </w:r>
          </w:p>
          <w:p w14:paraId="26DC99F1" w14:textId="77777777" w:rsidR="0065012F" w:rsidRDefault="0065012F" w:rsidP="003360DB">
            <w:pPr>
              <w:rPr>
                <w:rFonts w:ascii="Arial" w:hAnsi="Arial" w:cs="Arial"/>
                <w:b/>
                <w:sz w:val="22"/>
                <w:szCs w:val="22"/>
              </w:rPr>
            </w:pPr>
          </w:p>
          <w:p w14:paraId="6F511096" w14:textId="77777777" w:rsidR="003360DB" w:rsidRDefault="0065012F" w:rsidP="003360DB">
            <w:pPr>
              <w:rPr>
                <w:rFonts w:ascii="Arial" w:hAnsi="Arial" w:cs="Arial"/>
                <w:b/>
                <w:sz w:val="22"/>
                <w:szCs w:val="22"/>
              </w:rPr>
            </w:pPr>
            <w:r>
              <w:rPr>
                <w:rFonts w:ascii="Arial" w:hAnsi="Arial" w:cs="Arial"/>
                <w:b/>
                <w:sz w:val="22"/>
                <w:szCs w:val="22"/>
              </w:rPr>
              <w:t>S</w:t>
            </w:r>
            <w:r w:rsidRPr="0065012F">
              <w:rPr>
                <w:rFonts w:ascii="Arial" w:hAnsi="Arial" w:cs="Arial"/>
                <w:b/>
                <w:sz w:val="22"/>
                <w:szCs w:val="22"/>
              </w:rPr>
              <w:t>ignificance of the work for policy and practice</w:t>
            </w:r>
          </w:p>
          <w:p w14:paraId="4402F225" w14:textId="14258BA2" w:rsidR="003360DB" w:rsidRDefault="003360DB" w:rsidP="003360DB">
            <w:pPr>
              <w:rPr>
                <w:rFonts w:ascii="Arial" w:hAnsi="Arial" w:cs="Arial"/>
                <w:bCs/>
                <w:sz w:val="22"/>
                <w:szCs w:val="22"/>
              </w:rPr>
            </w:pPr>
            <w:r w:rsidRPr="003360DB">
              <w:rPr>
                <w:rFonts w:ascii="Arial" w:hAnsi="Arial" w:cs="Arial"/>
                <w:bCs/>
                <w:sz w:val="22"/>
                <w:szCs w:val="22"/>
              </w:rPr>
              <w:t>By embedding nature-based adaptation into economic systems, this model presents a scalable, investment-ready framework for urban climate finance, aligning public-</w:t>
            </w:r>
            <w:r w:rsidRPr="003360DB">
              <w:rPr>
                <w:rFonts w:ascii="Arial" w:hAnsi="Arial" w:cs="Arial"/>
                <w:bCs/>
                <w:sz w:val="22"/>
                <w:szCs w:val="22"/>
              </w:rPr>
              <w:lastRenderedPageBreak/>
              <w:t>private partnerships, green bonds, and insurance incentives with local adaptation efforts. It advances smart city transformation, shifting from passive climate response to regenerative, self-sustaining urban systems. Furthermore, it strengthens community resilience and health, supporting the creation of Blue Zones, where climate adaptation directly improves longevity, well-being, and economic stability.</w:t>
            </w:r>
          </w:p>
          <w:p w14:paraId="3F4835B9" w14:textId="77777777" w:rsidR="008E4AF4" w:rsidRPr="003360DB" w:rsidRDefault="008E4AF4" w:rsidP="003360DB">
            <w:pPr>
              <w:rPr>
                <w:rFonts w:ascii="Arial" w:hAnsi="Arial" w:cs="Arial"/>
                <w:bCs/>
                <w:sz w:val="22"/>
                <w:szCs w:val="22"/>
              </w:rPr>
            </w:pPr>
          </w:p>
          <w:p w14:paraId="261EC656" w14:textId="4EE07641" w:rsidR="00C8423A" w:rsidRPr="003360DB" w:rsidRDefault="003360DB" w:rsidP="003360DB">
            <w:pPr>
              <w:rPr>
                <w:rFonts w:ascii="Arial" w:hAnsi="Arial" w:cs="Arial"/>
                <w:bCs/>
                <w:sz w:val="22"/>
                <w:szCs w:val="22"/>
              </w:rPr>
            </w:pPr>
            <w:r w:rsidRPr="003360DB">
              <w:rPr>
                <w:rFonts w:ascii="Arial" w:hAnsi="Arial" w:cs="Arial"/>
                <w:bCs/>
                <w:sz w:val="22"/>
                <w:szCs w:val="22"/>
              </w:rPr>
              <w:t>This paper explores how the "Blue-Green Data Economy of the Future" bridges climate resilience, smart water management, and economic adaptation, demonstrating how watershed communities, tropical islands and cities can become hubs of innovation for 21st-century climate resilience.</w:t>
            </w:r>
          </w:p>
          <w:p w14:paraId="2CBAECD6" w14:textId="729DADBB" w:rsidR="009F4EA0" w:rsidRPr="00285F2C" w:rsidRDefault="009F4EA0" w:rsidP="00285F2C">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WyMLW0MDI0MrUwsTBV0lEKTi0uzszPAykwrAUA4tZgrCwAAAA="/>
  </w:docVars>
  <w:rsids>
    <w:rsidRoot w:val="009C374A"/>
    <w:rsid w:val="000454E9"/>
    <w:rsid w:val="00097356"/>
    <w:rsid w:val="00105E39"/>
    <w:rsid w:val="00132AE5"/>
    <w:rsid w:val="00155315"/>
    <w:rsid w:val="00247C60"/>
    <w:rsid w:val="00256963"/>
    <w:rsid w:val="00285F2C"/>
    <w:rsid w:val="002E3AA3"/>
    <w:rsid w:val="00317356"/>
    <w:rsid w:val="003360DB"/>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8235E8"/>
    <w:rsid w:val="008773DF"/>
    <w:rsid w:val="008B01BA"/>
    <w:rsid w:val="008B50A0"/>
    <w:rsid w:val="008C0C35"/>
    <w:rsid w:val="008C22AD"/>
    <w:rsid w:val="008C2633"/>
    <w:rsid w:val="008E3D8D"/>
    <w:rsid w:val="008E4AF4"/>
    <w:rsid w:val="008F2F93"/>
    <w:rsid w:val="009010B0"/>
    <w:rsid w:val="00906B39"/>
    <w:rsid w:val="0093121D"/>
    <w:rsid w:val="00963443"/>
    <w:rsid w:val="009C374A"/>
    <w:rsid w:val="009F4EA0"/>
    <w:rsid w:val="00AA555B"/>
    <w:rsid w:val="00B026E8"/>
    <w:rsid w:val="00BA0872"/>
    <w:rsid w:val="00BA26BB"/>
    <w:rsid w:val="00BC6810"/>
    <w:rsid w:val="00BE0B4D"/>
    <w:rsid w:val="00BE58D6"/>
    <w:rsid w:val="00C26081"/>
    <w:rsid w:val="00C4126D"/>
    <w:rsid w:val="00C76C99"/>
    <w:rsid w:val="00C8423A"/>
    <w:rsid w:val="00CE53FE"/>
    <w:rsid w:val="00D716AD"/>
    <w:rsid w:val="00DB7929"/>
    <w:rsid w:val="00DD1BB3"/>
    <w:rsid w:val="00E5584A"/>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7B4512-67DF-40CB-BD8D-C2D525134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www.w3.org/XML/1998/namespace"/>
    <ds:schemaRef ds:uri="http://purl.org/dc/elements/1.1/"/>
    <ds:schemaRef ds:uri="http://purl.org/dc/dcmitype/"/>
    <ds:schemaRef ds:uri="http://purl.org/dc/terms/"/>
    <ds:schemaRef ds:uri="9c8a2b7b-0bee-4c48-b0a6-23db8982d3b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528</Words>
  <Characters>3014</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5</cp:revision>
  <dcterms:created xsi:type="dcterms:W3CDTF">2025-03-01T07:23:00Z</dcterms:created>
  <dcterms:modified xsi:type="dcterms:W3CDTF">2025-08-13T18:52:00Z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