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4DB9" w14:textId="2D9D4F8B" w:rsidR="002662EB" w:rsidRPr="002D5FD0" w:rsidRDefault="002662EB" w:rsidP="002662EB">
      <w:pPr>
        <w:rPr>
          <w:rFonts w:ascii="Arial" w:hAnsi="Arial" w:cs="Arial"/>
          <w:b/>
          <w:bCs/>
          <w:color w:val="000000" w:themeColor="text1"/>
          <w:lang w:val="en-GB"/>
        </w:rPr>
      </w:pPr>
      <w:r w:rsidRPr="002D5FD0">
        <w:rPr>
          <w:rFonts w:ascii="Arial" w:hAnsi="Arial" w:cs="Arial"/>
          <w:b/>
          <w:bCs/>
          <w:color w:val="000000" w:themeColor="text1"/>
          <w:shd w:val="clear" w:color="auto" w:fill="FFFFFF"/>
        </w:rPr>
        <w:t>The Impact of Proactive Inpatient Glycaemic Intervention on Trauma Patient Outcomes: A Retrospective Cohort Study</w:t>
      </w:r>
    </w:p>
    <w:p w14:paraId="0368787F" w14:textId="77777777" w:rsidR="005703FF" w:rsidRDefault="005703FF" w:rsidP="002662EB">
      <w:pPr>
        <w:rPr>
          <w:rFonts w:ascii="Arial" w:hAnsi="Arial" w:cs="Arial"/>
          <w:color w:val="000000" w:themeColor="text1"/>
          <w:lang w:val="en-GB"/>
        </w:rPr>
      </w:pPr>
    </w:p>
    <w:p w14:paraId="7166B325" w14:textId="77777777" w:rsidR="00FD504A" w:rsidRPr="002D5FD0" w:rsidRDefault="00FD504A" w:rsidP="002662EB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726E9A95" w14:textId="1B57A38F" w:rsidR="002662EB" w:rsidRPr="002D5FD0" w:rsidRDefault="002662EB" w:rsidP="00CD42A7">
      <w:pPr>
        <w:spacing w:line="276" w:lineRule="auto"/>
        <w:rPr>
          <w:rFonts w:ascii="Arial" w:hAnsi="Arial" w:cs="Arial"/>
          <w:b/>
          <w:bCs/>
          <w:color w:val="000000" w:themeColor="text1"/>
          <w:lang w:val="en-GB"/>
        </w:rPr>
      </w:pPr>
      <w:r w:rsidRPr="002D5FD0">
        <w:rPr>
          <w:rFonts w:ascii="Arial" w:hAnsi="Arial" w:cs="Arial"/>
          <w:b/>
          <w:bCs/>
          <w:color w:val="000000" w:themeColor="text1"/>
          <w:lang w:val="en-GB"/>
        </w:rPr>
        <w:t>Introduction:</w:t>
      </w:r>
    </w:p>
    <w:p w14:paraId="1722AA74" w14:textId="4666354F" w:rsidR="002662EB" w:rsidRPr="002D5FD0" w:rsidRDefault="002662EB" w:rsidP="00CD42A7">
      <w:p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Hyperglycaemia is a common yet understudied complication in trauma patients, associated with adverse outcomes. The benefits of proactive glycaemic </w:t>
      </w:r>
      <w:r w:rsidR="00CD42A7" w:rsidRPr="002D5FD0">
        <w:rPr>
          <w:rFonts w:ascii="Arial" w:hAnsi="Arial" w:cs="Arial"/>
          <w:color w:val="000000" w:themeColor="text1"/>
          <w:shd w:val="clear" w:color="auto" w:fill="FFFFFF"/>
        </w:rPr>
        <w:t xml:space="preserve">intervention 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in this population remain unclear.  This study investigates </w:t>
      </w:r>
      <w:r w:rsidR="00CD42A7" w:rsidRPr="002D5FD0">
        <w:rPr>
          <w:rFonts w:ascii="Arial" w:hAnsi="Arial" w:cs="Arial"/>
          <w:color w:val="000000" w:themeColor="text1"/>
          <w:shd w:val="clear" w:color="auto" w:fill="FFFFFF"/>
        </w:rPr>
        <w:t xml:space="preserve">whether 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early </w:t>
      </w:r>
      <w:r w:rsidR="00CD42A7" w:rsidRPr="002D5FD0">
        <w:rPr>
          <w:rFonts w:ascii="Arial" w:hAnsi="Arial" w:cs="Arial"/>
          <w:color w:val="000000" w:themeColor="text1"/>
          <w:shd w:val="clear" w:color="auto" w:fill="FFFFFF"/>
        </w:rPr>
        <w:t xml:space="preserve">specialist-led 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>inpatient glycaemic intervention improves clinical outcomes in trauma patients, including mortality, hospital-acquired infections (HAI), acute kidney injury (AKI), and length of stay (LOS)</w:t>
      </w:r>
      <w:r w:rsidR="00CD42A7" w:rsidRPr="002D5FD0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43545D2" w14:textId="77777777" w:rsidR="00B14C38" w:rsidRPr="002D5FD0" w:rsidRDefault="00B14C38" w:rsidP="00CD42A7">
      <w:p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</w:p>
    <w:p w14:paraId="27F1F225" w14:textId="327E3830" w:rsidR="002662EB" w:rsidRPr="002D5FD0" w:rsidRDefault="003B7D6D" w:rsidP="00CD42A7">
      <w:pPr>
        <w:spacing w:line="276" w:lineRule="auto"/>
        <w:rPr>
          <w:rFonts w:ascii="Arial" w:hAnsi="Arial" w:cs="Arial"/>
          <w:b/>
          <w:bCs/>
          <w:color w:val="000000" w:themeColor="text1"/>
          <w:lang w:val="en-GB"/>
        </w:rPr>
      </w:pPr>
      <w:r w:rsidRPr="002D5FD0">
        <w:rPr>
          <w:rFonts w:ascii="Arial" w:hAnsi="Arial" w:cs="Arial"/>
          <w:b/>
          <w:bCs/>
          <w:color w:val="000000" w:themeColor="text1"/>
          <w:lang w:val="en-GB"/>
        </w:rPr>
        <w:t>Aim:</w:t>
      </w:r>
    </w:p>
    <w:p w14:paraId="3126EB39" w14:textId="1450EC4C" w:rsidR="002662EB" w:rsidRPr="002D5FD0" w:rsidRDefault="002662EB" w:rsidP="00CD42A7">
      <w:pPr>
        <w:spacing w:line="276" w:lineRule="auto"/>
        <w:rPr>
          <w:rFonts w:ascii="Arial" w:hAnsi="Arial" w:cs="Arial"/>
          <w:color w:val="000000" w:themeColor="text1"/>
          <w:lang w:val="en-GB"/>
        </w:rPr>
      </w:pPr>
      <w:r w:rsidRPr="002D5FD0">
        <w:rPr>
          <w:rFonts w:ascii="Arial" w:hAnsi="Arial" w:cs="Arial"/>
          <w:color w:val="000000" w:themeColor="text1"/>
          <w:lang w:val="en-GB"/>
        </w:rPr>
        <w:t xml:space="preserve">To investigate the association between </w:t>
      </w:r>
      <w:r w:rsidR="00CD42A7" w:rsidRPr="002D5FD0">
        <w:rPr>
          <w:rFonts w:ascii="Arial" w:hAnsi="Arial" w:cs="Arial"/>
          <w:color w:val="000000" w:themeColor="text1"/>
          <w:lang w:val="en-GB"/>
        </w:rPr>
        <w:t>early electronic specialist-led diabetes care</w:t>
      </w:r>
      <w:r w:rsidRPr="002D5FD0">
        <w:rPr>
          <w:rFonts w:ascii="Arial" w:hAnsi="Arial" w:cs="Arial"/>
          <w:color w:val="000000" w:themeColor="text1"/>
          <w:lang w:val="en-GB"/>
        </w:rPr>
        <w:t xml:space="preserve"> and clinical outcomes in trauma </w:t>
      </w:r>
      <w:r w:rsidR="00CD42A7" w:rsidRPr="002D5FD0">
        <w:rPr>
          <w:rFonts w:ascii="Arial" w:hAnsi="Arial" w:cs="Arial"/>
          <w:color w:val="000000" w:themeColor="text1"/>
          <w:lang w:val="en-GB"/>
        </w:rPr>
        <w:t>in</w:t>
      </w:r>
      <w:r w:rsidRPr="002D5FD0">
        <w:rPr>
          <w:rFonts w:ascii="Arial" w:hAnsi="Arial" w:cs="Arial"/>
          <w:color w:val="000000" w:themeColor="text1"/>
          <w:lang w:val="en-GB"/>
        </w:rPr>
        <w:t>patients.</w:t>
      </w:r>
    </w:p>
    <w:p w14:paraId="3D1AC977" w14:textId="77777777" w:rsidR="002662EB" w:rsidRPr="002D5FD0" w:rsidRDefault="002662EB" w:rsidP="00CD42A7">
      <w:p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</w:p>
    <w:p w14:paraId="47AFB950" w14:textId="77777777" w:rsidR="002662EB" w:rsidRPr="002D5FD0" w:rsidRDefault="002662EB" w:rsidP="00CD42A7">
      <w:pPr>
        <w:spacing w:line="276" w:lineRule="auto"/>
        <w:rPr>
          <w:rFonts w:ascii="Arial" w:hAnsi="Arial" w:cs="Arial"/>
          <w:b/>
          <w:bCs/>
          <w:color w:val="000000" w:themeColor="text1"/>
          <w:lang w:val="en-GB"/>
        </w:rPr>
      </w:pPr>
      <w:r w:rsidRPr="002D5FD0">
        <w:rPr>
          <w:rFonts w:ascii="Arial" w:hAnsi="Arial" w:cs="Arial"/>
          <w:b/>
          <w:bCs/>
          <w:color w:val="000000" w:themeColor="text1"/>
          <w:lang w:val="en-GB"/>
        </w:rPr>
        <w:t>Methods:</w:t>
      </w:r>
    </w:p>
    <w:p w14:paraId="2AFDBE26" w14:textId="01D4A290" w:rsidR="002662EB" w:rsidRPr="002D5FD0" w:rsidRDefault="002662EB" w:rsidP="00CD42A7">
      <w:p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2D5FD0">
        <w:rPr>
          <w:rFonts w:ascii="Arial" w:hAnsi="Arial" w:cs="Arial"/>
          <w:color w:val="000000" w:themeColor="text1"/>
          <w:shd w:val="clear" w:color="auto" w:fill="FFFFFF"/>
        </w:rPr>
        <w:t>This study</w:t>
      </w:r>
      <w:r w:rsidR="009D2B04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is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 a sub-analysis of the STOIC-D Surgery </w:t>
      </w:r>
      <w:r w:rsidR="009D2B04" w:rsidRPr="002D5FD0">
        <w:rPr>
          <w:rFonts w:ascii="Arial" w:hAnsi="Arial" w:cs="Arial"/>
          <w:color w:val="000000" w:themeColor="text1"/>
          <w:shd w:val="clear" w:color="auto" w:fill="FFFFFF"/>
        </w:rPr>
        <w:t xml:space="preserve">randomised controlled 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trial, </w:t>
      </w:r>
      <w:r w:rsidR="009D2B04" w:rsidRPr="002D5FD0">
        <w:rPr>
          <w:rFonts w:ascii="Arial" w:hAnsi="Arial" w:cs="Arial"/>
          <w:color w:val="000000" w:themeColor="text1"/>
          <w:shd w:val="clear" w:color="auto" w:fill="FFFFFF"/>
        </w:rPr>
        <w:t xml:space="preserve">which 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was conducted at a Level 1 trauma centre. Eligible participants were adult trauma patients with pre-existing diabetes or newly detected hyperglycaemia (random glucose ≥11.1 mmol/L). Patients were randomised into two groups: those receiving standard diabetes care or early glycaemic intervention by a specialist diabetes team. Primary outcome was </w:t>
      </w:r>
      <w:r w:rsidR="00CD42A7" w:rsidRPr="002D5FD0">
        <w:rPr>
          <w:rFonts w:ascii="Arial" w:hAnsi="Arial" w:cs="Arial"/>
          <w:color w:val="000000" w:themeColor="text1"/>
          <w:shd w:val="clear" w:color="auto" w:fill="FFFFFF"/>
        </w:rPr>
        <w:t xml:space="preserve">median patient-day mean glucose (PDMG). 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>Secondary outcomes included</w:t>
      </w:r>
      <w:r w:rsidR="001517A9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healthcare-associated infection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517A9" w:rsidRPr="002D5FD0">
        <w:rPr>
          <w:rFonts w:ascii="Arial" w:hAnsi="Arial" w:cs="Arial"/>
          <w:color w:val="000000" w:themeColor="text1"/>
          <w:shd w:val="clear" w:color="auto" w:fill="FFFFFF"/>
        </w:rPr>
        <w:t>(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>HAI</w:t>
      </w:r>
      <w:r w:rsidR="001517A9" w:rsidRPr="002D5FD0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 and mortality. Multivaria</w:t>
      </w:r>
      <w:r w:rsidR="005B5177" w:rsidRPr="002D5FD0">
        <w:rPr>
          <w:rFonts w:ascii="Arial" w:hAnsi="Arial" w:cs="Arial"/>
          <w:color w:val="000000" w:themeColor="text1"/>
          <w:shd w:val="clear" w:color="auto" w:fill="FFFFFF"/>
        </w:rPr>
        <w:t>bl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e logistic and linear regression models were </w:t>
      </w:r>
      <w:r w:rsidR="00F353A7" w:rsidRPr="002D5FD0">
        <w:rPr>
          <w:rFonts w:ascii="Arial" w:hAnsi="Arial" w:cs="Arial"/>
          <w:color w:val="000000" w:themeColor="text1"/>
          <w:shd w:val="clear" w:color="auto" w:fill="FFFFFF"/>
        </w:rPr>
        <w:t>applied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>, adjusting for injury severity score (ISS), age, diabetes status, and comorbidities.</w:t>
      </w:r>
    </w:p>
    <w:p w14:paraId="63747339" w14:textId="77777777" w:rsidR="002662EB" w:rsidRPr="002D5FD0" w:rsidRDefault="002662EB" w:rsidP="00CD42A7">
      <w:p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</w:p>
    <w:p w14:paraId="05752D20" w14:textId="77777777" w:rsidR="002662EB" w:rsidRPr="002D5FD0" w:rsidRDefault="002662EB" w:rsidP="00CD42A7">
      <w:pPr>
        <w:spacing w:line="276" w:lineRule="auto"/>
        <w:rPr>
          <w:rFonts w:ascii="Arial" w:hAnsi="Arial" w:cs="Arial"/>
          <w:b/>
          <w:bCs/>
          <w:color w:val="000000" w:themeColor="text1"/>
          <w:lang w:val="en-GB"/>
        </w:rPr>
      </w:pPr>
      <w:r w:rsidRPr="002D5FD0">
        <w:rPr>
          <w:rFonts w:ascii="Arial" w:hAnsi="Arial" w:cs="Arial"/>
          <w:b/>
          <w:bCs/>
          <w:color w:val="000000" w:themeColor="text1"/>
          <w:lang w:val="en-GB"/>
        </w:rPr>
        <w:t>Results:</w:t>
      </w:r>
    </w:p>
    <w:p w14:paraId="5C87D203" w14:textId="2277B606" w:rsidR="002662EB" w:rsidRPr="002D5FD0" w:rsidRDefault="00CD42A7" w:rsidP="00CD42A7">
      <w:p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Between 18 February 2021 and 17 December 2021, </w:t>
      </w:r>
      <w:r w:rsidR="00687D98" w:rsidRPr="002D5FD0">
        <w:rPr>
          <w:rFonts w:ascii="Arial" w:hAnsi="Arial" w:cs="Arial"/>
          <w:color w:val="000000" w:themeColor="text1"/>
          <w:shd w:val="clear" w:color="auto" w:fill="FFFFFF"/>
        </w:rPr>
        <w:t>221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E026E" w:rsidRPr="002D5FD0">
        <w:rPr>
          <w:rFonts w:ascii="Arial" w:hAnsi="Arial" w:cs="Arial"/>
          <w:color w:val="000000" w:themeColor="text1"/>
          <w:shd w:val="clear" w:color="auto" w:fill="FFFFFF"/>
        </w:rPr>
        <w:t xml:space="preserve">admissions 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>to the trauma service</w:t>
      </w:r>
      <w:r w:rsidR="004E026E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met inclusion criteria</w:t>
      </w:r>
      <w:r w:rsidR="00E14CF8" w:rsidRPr="002D5FD0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14CF8" w:rsidRPr="002D5FD0">
        <w:rPr>
          <w:rFonts w:ascii="Arial" w:hAnsi="Arial" w:cs="Arial"/>
          <w:color w:val="000000" w:themeColor="text1"/>
          <w:shd w:val="clear" w:color="auto" w:fill="FFFFFF"/>
        </w:rPr>
        <w:t>M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E14CF8" w:rsidRPr="002D5FD0">
        <w:rPr>
          <w:rFonts w:ascii="Arial" w:hAnsi="Arial" w:cs="Arial"/>
          <w:color w:val="000000" w:themeColor="text1"/>
          <w:shd w:val="clear" w:color="auto" w:fill="FFFFFF"/>
        </w:rPr>
        <w:t>dian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age</w:t>
      </w:r>
      <w:r w:rsidR="00E14CF8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was </w:t>
      </w:r>
      <w:r w:rsidR="00210A84" w:rsidRPr="002D5FD0">
        <w:rPr>
          <w:rFonts w:ascii="Arial" w:hAnsi="Arial" w:cs="Arial"/>
          <w:color w:val="000000" w:themeColor="text1"/>
          <w:shd w:val="clear" w:color="auto" w:fill="FFFFFF"/>
        </w:rPr>
        <w:t>61 years (interquartile range 44-75)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7</w:t>
      </w:r>
      <w:r w:rsidR="00621F91" w:rsidRPr="002D5FD0">
        <w:rPr>
          <w:rFonts w:ascii="Arial" w:hAnsi="Arial" w:cs="Arial"/>
          <w:color w:val="000000" w:themeColor="text1"/>
          <w:shd w:val="clear" w:color="auto" w:fill="FFFFFF"/>
        </w:rPr>
        <w:t>2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>%</w:t>
      </w:r>
      <w:r w:rsidR="00621F91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were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male</w:t>
      </w:r>
      <w:r w:rsidR="00FF6F97" w:rsidRPr="002D5FD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C50DBA" w:rsidRPr="002D5FD0">
        <w:rPr>
          <w:rFonts w:ascii="Arial" w:hAnsi="Arial" w:cs="Arial"/>
          <w:color w:val="000000" w:themeColor="text1"/>
          <w:shd w:val="clear" w:color="auto" w:fill="FFFFFF"/>
        </w:rPr>
        <w:t>103 (47%) had pre-existing diabetes</w:t>
      </w:r>
      <w:r w:rsidR="00E5502D" w:rsidRPr="002D5FD0">
        <w:rPr>
          <w:rFonts w:ascii="Arial" w:hAnsi="Arial" w:cs="Arial"/>
          <w:color w:val="000000" w:themeColor="text1"/>
          <w:shd w:val="clear" w:color="auto" w:fill="FFFFFF"/>
        </w:rPr>
        <w:t>, and mean HbA1c was 6.7%</w:t>
      </w:r>
      <w:r w:rsidR="00621F91" w:rsidRPr="002D5FD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A10C4" w:rsidRPr="002D5FD0">
        <w:rPr>
          <w:rFonts w:ascii="Arial" w:hAnsi="Arial" w:cs="Arial"/>
          <w:color w:val="000000" w:themeColor="text1"/>
          <w:shd w:val="clear" w:color="auto" w:fill="FFFFFF"/>
        </w:rPr>
        <w:t>T</w:t>
      </w:r>
      <w:r w:rsidR="0038056F" w:rsidRPr="002D5FD0">
        <w:rPr>
          <w:rFonts w:ascii="Arial" w:hAnsi="Arial" w:cs="Arial"/>
          <w:color w:val="000000" w:themeColor="text1"/>
          <w:shd w:val="clear" w:color="auto" w:fill="FFFFFF"/>
        </w:rPr>
        <w:t xml:space="preserve">he </w:t>
      </w:r>
      <w:r w:rsidR="008A10C4" w:rsidRPr="002D5FD0">
        <w:rPr>
          <w:rFonts w:ascii="Arial" w:hAnsi="Arial" w:cs="Arial"/>
          <w:color w:val="000000" w:themeColor="text1"/>
          <w:shd w:val="clear" w:color="auto" w:fill="FFFFFF"/>
        </w:rPr>
        <w:t>111 admissions in the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intervention group</w:t>
      </w:r>
      <w:r w:rsidR="008A10C4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compared with the 110 in the </w:t>
      </w:r>
      <w:r w:rsidR="00395377" w:rsidRPr="002D5FD0">
        <w:rPr>
          <w:rFonts w:ascii="Arial" w:hAnsi="Arial" w:cs="Arial"/>
          <w:color w:val="000000" w:themeColor="text1"/>
          <w:shd w:val="clear" w:color="auto" w:fill="FFFFFF"/>
        </w:rPr>
        <w:t>control</w:t>
      </w:r>
      <w:r w:rsidR="0085575D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group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demonstrated</w:t>
      </w:r>
      <w:r w:rsidR="00466B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lower </w:t>
      </w:r>
      <w:r w:rsidR="009F12A6" w:rsidRPr="002D5FD0">
        <w:rPr>
          <w:rFonts w:ascii="Arial" w:hAnsi="Arial" w:cs="Arial"/>
          <w:color w:val="000000" w:themeColor="text1"/>
          <w:shd w:val="clear" w:color="auto" w:fill="FFFFFF"/>
        </w:rPr>
        <w:t xml:space="preserve">median </w:t>
      </w:r>
      <w:r w:rsidR="00466BEB" w:rsidRPr="002D5FD0">
        <w:rPr>
          <w:rFonts w:ascii="Arial" w:hAnsi="Arial" w:cs="Arial"/>
          <w:color w:val="000000" w:themeColor="text1"/>
          <w:shd w:val="clear" w:color="auto" w:fill="FFFFFF"/>
        </w:rPr>
        <w:t>PDMG (</w:t>
      </w:r>
      <w:r w:rsidR="009F12A6" w:rsidRPr="002D5FD0">
        <w:rPr>
          <w:rFonts w:ascii="Arial" w:hAnsi="Arial" w:cs="Arial"/>
          <w:color w:val="000000" w:themeColor="text1"/>
          <w:shd w:val="clear" w:color="auto" w:fill="FFFFFF"/>
        </w:rPr>
        <w:t xml:space="preserve">8.1 vs. </w:t>
      </w:r>
      <w:r w:rsidR="00BA6103" w:rsidRPr="002D5FD0">
        <w:rPr>
          <w:rFonts w:ascii="Arial" w:hAnsi="Arial" w:cs="Arial"/>
          <w:color w:val="000000" w:themeColor="text1"/>
          <w:shd w:val="clear" w:color="auto" w:fill="FFFFFF"/>
        </w:rPr>
        <w:t>8.5 mmol/L</w:t>
      </w:r>
      <w:r w:rsidR="00466BEB" w:rsidRPr="002D5FD0">
        <w:rPr>
          <w:rFonts w:ascii="Arial" w:hAnsi="Arial" w:cs="Arial"/>
          <w:color w:val="000000" w:themeColor="text1"/>
          <w:shd w:val="clear" w:color="auto" w:fill="FFFFFF"/>
        </w:rPr>
        <w:t>),</w:t>
      </w:r>
      <w:r w:rsidR="002110A3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517A9" w:rsidRPr="002D5FD0">
        <w:rPr>
          <w:rFonts w:ascii="Arial" w:hAnsi="Arial" w:cs="Arial"/>
          <w:color w:val="000000" w:themeColor="text1"/>
          <w:shd w:val="clear" w:color="auto" w:fill="FFFFFF"/>
        </w:rPr>
        <w:t xml:space="preserve">reduced </w:t>
      </w:r>
      <w:r w:rsidR="00F353A7" w:rsidRPr="002D5FD0">
        <w:rPr>
          <w:rFonts w:ascii="Arial" w:hAnsi="Arial" w:cs="Arial"/>
          <w:color w:val="000000" w:themeColor="text1"/>
          <w:shd w:val="clear" w:color="auto" w:fill="FFFFFF"/>
        </w:rPr>
        <w:t xml:space="preserve">HAI </w:t>
      </w:r>
      <w:r w:rsidR="00E45421" w:rsidRPr="002D5FD0">
        <w:rPr>
          <w:rFonts w:ascii="Arial" w:hAnsi="Arial" w:cs="Arial"/>
          <w:color w:val="000000" w:themeColor="text1"/>
          <w:shd w:val="clear" w:color="auto" w:fill="FFFFFF"/>
        </w:rPr>
        <w:t xml:space="preserve">incidence </w:t>
      </w:r>
      <w:r w:rsidR="00F353A7" w:rsidRPr="002D5FD0">
        <w:rPr>
          <w:rFonts w:ascii="Arial" w:hAnsi="Arial" w:cs="Arial"/>
          <w:color w:val="000000" w:themeColor="text1"/>
          <w:shd w:val="clear" w:color="auto" w:fill="FFFFFF"/>
        </w:rPr>
        <w:t>(18% vs. 30%)</w:t>
      </w:r>
      <w:r w:rsidR="00466BEB" w:rsidRPr="002D5FD0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F353A7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and</w:t>
      </w:r>
      <w:r w:rsidR="00E45421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reduced</w:t>
      </w:r>
      <w:r w:rsidR="00F353A7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mortality </w:t>
      </w:r>
      <w:r w:rsidR="00AE3463" w:rsidRPr="002D5FD0">
        <w:rPr>
          <w:rFonts w:ascii="Arial" w:hAnsi="Arial" w:cs="Arial"/>
          <w:color w:val="000000" w:themeColor="text1"/>
          <w:shd w:val="clear" w:color="auto" w:fill="FFFFFF"/>
        </w:rPr>
        <w:t>(6.3% vs. 14%)</w:t>
      </w:r>
      <w:r w:rsidR="00AC7D31" w:rsidRPr="002D5FD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CF277C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D0B51" w:rsidRPr="002D5FD0">
        <w:rPr>
          <w:rFonts w:ascii="Arial" w:hAnsi="Arial" w:cs="Arial"/>
          <w:color w:val="000000" w:themeColor="text1"/>
          <w:shd w:val="clear" w:color="auto" w:fill="FFFFFF"/>
        </w:rPr>
        <w:t xml:space="preserve">On multivariable logistic regression, </w:t>
      </w:r>
      <w:r w:rsidR="006E3C91" w:rsidRPr="002D5FD0">
        <w:rPr>
          <w:rFonts w:ascii="Arial" w:hAnsi="Arial" w:cs="Arial"/>
          <w:color w:val="000000" w:themeColor="text1"/>
          <w:shd w:val="clear" w:color="auto" w:fill="FFFFFF"/>
        </w:rPr>
        <w:t xml:space="preserve">both allocation to the control group and longer length of stay </w:t>
      </w:r>
      <w:r w:rsidR="00F01FEB" w:rsidRPr="002D5FD0">
        <w:rPr>
          <w:rFonts w:ascii="Arial" w:hAnsi="Arial" w:cs="Arial"/>
          <w:color w:val="000000" w:themeColor="text1"/>
          <w:shd w:val="clear" w:color="auto" w:fill="FFFFFF"/>
        </w:rPr>
        <w:t>remained independently associated with HAI incidence.</w:t>
      </w:r>
    </w:p>
    <w:p w14:paraId="30C78A80" w14:textId="77777777" w:rsidR="00557300" w:rsidRPr="002D5FD0" w:rsidRDefault="00557300" w:rsidP="00CD42A7">
      <w:pPr>
        <w:spacing w:line="276" w:lineRule="auto"/>
        <w:rPr>
          <w:rFonts w:ascii="Arial" w:hAnsi="Arial" w:cs="Arial"/>
          <w:b/>
          <w:bCs/>
          <w:color w:val="000000" w:themeColor="text1"/>
          <w:lang w:val="en-GB"/>
        </w:rPr>
      </w:pPr>
    </w:p>
    <w:p w14:paraId="6190A709" w14:textId="14FC5EA5" w:rsidR="002662EB" w:rsidRPr="002D5FD0" w:rsidRDefault="002662EB" w:rsidP="00CD42A7">
      <w:pPr>
        <w:spacing w:line="276" w:lineRule="auto"/>
        <w:rPr>
          <w:rFonts w:ascii="Arial" w:hAnsi="Arial" w:cs="Arial"/>
          <w:b/>
          <w:bCs/>
          <w:color w:val="000000" w:themeColor="text1"/>
          <w:lang w:val="en-GB"/>
        </w:rPr>
      </w:pPr>
      <w:r w:rsidRPr="002D5FD0">
        <w:rPr>
          <w:rFonts w:ascii="Arial" w:hAnsi="Arial" w:cs="Arial"/>
          <w:b/>
          <w:bCs/>
          <w:color w:val="000000" w:themeColor="text1"/>
          <w:lang w:val="en-GB"/>
        </w:rPr>
        <w:t>Conclusion:</w:t>
      </w:r>
    </w:p>
    <w:p w14:paraId="72655902" w14:textId="33E58321" w:rsidR="002662EB" w:rsidRPr="002D5FD0" w:rsidRDefault="00CD42A7" w:rsidP="00CD42A7">
      <w:p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2D5FD0">
        <w:rPr>
          <w:rFonts w:ascii="Arial" w:hAnsi="Arial" w:cs="Arial"/>
          <w:color w:val="000000" w:themeColor="text1"/>
          <w:shd w:val="clear" w:color="auto" w:fill="FFFFFF"/>
        </w:rPr>
        <w:t>In trauma</w:t>
      </w:r>
      <w:r w:rsidR="001648F1" w:rsidRPr="002D5FD0">
        <w:rPr>
          <w:rFonts w:ascii="Arial" w:hAnsi="Arial" w:cs="Arial"/>
          <w:color w:val="000000" w:themeColor="text1"/>
          <w:shd w:val="clear" w:color="auto" w:fill="FFFFFF"/>
        </w:rPr>
        <w:t xml:space="preserve"> surgical</w:t>
      </w:r>
      <w:r w:rsidRPr="002D5FD0">
        <w:rPr>
          <w:rFonts w:ascii="Arial" w:hAnsi="Arial" w:cs="Arial"/>
          <w:color w:val="000000" w:themeColor="text1"/>
          <w:shd w:val="clear" w:color="auto" w:fill="FFFFFF"/>
        </w:rPr>
        <w:t xml:space="preserve"> inpatients, e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 xml:space="preserve">arly specialist-led glycaemic intervention significantly </w:t>
      </w:r>
      <w:r w:rsidR="00AB29A6" w:rsidRPr="002D5FD0">
        <w:rPr>
          <w:rFonts w:ascii="Arial" w:hAnsi="Arial" w:cs="Arial"/>
          <w:color w:val="000000" w:themeColor="text1"/>
          <w:shd w:val="clear" w:color="auto" w:fill="FFFFFF"/>
        </w:rPr>
        <w:t xml:space="preserve">improves </w:t>
      </w:r>
      <w:r w:rsidR="002662EB" w:rsidRPr="002D5FD0">
        <w:rPr>
          <w:rFonts w:ascii="Arial" w:hAnsi="Arial" w:cs="Arial"/>
          <w:color w:val="000000" w:themeColor="text1"/>
          <w:shd w:val="clear" w:color="auto" w:fill="FFFFFF"/>
        </w:rPr>
        <w:t>clinical outcomes, supporting its integration into routine care. Future research should focus on validating these findings in larger, multicentre prospective trials.</w:t>
      </w:r>
    </w:p>
    <w:sectPr w:rsidR="002662EB" w:rsidRPr="002D5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EB"/>
    <w:rsid w:val="000F0F54"/>
    <w:rsid w:val="000F127B"/>
    <w:rsid w:val="001517A9"/>
    <w:rsid w:val="001648F1"/>
    <w:rsid w:val="001E67AC"/>
    <w:rsid w:val="00210A84"/>
    <w:rsid w:val="002110A3"/>
    <w:rsid w:val="002662EB"/>
    <w:rsid w:val="002D5FD0"/>
    <w:rsid w:val="0038056F"/>
    <w:rsid w:val="00395377"/>
    <w:rsid w:val="003B7D6D"/>
    <w:rsid w:val="0045577B"/>
    <w:rsid w:val="00466BEB"/>
    <w:rsid w:val="004A6BC5"/>
    <w:rsid w:val="004E026E"/>
    <w:rsid w:val="00557300"/>
    <w:rsid w:val="005703FF"/>
    <w:rsid w:val="005B5177"/>
    <w:rsid w:val="005D0B51"/>
    <w:rsid w:val="00621F91"/>
    <w:rsid w:val="00687D98"/>
    <w:rsid w:val="00697FC5"/>
    <w:rsid w:val="006E3C91"/>
    <w:rsid w:val="0078536A"/>
    <w:rsid w:val="0082587C"/>
    <w:rsid w:val="0085575D"/>
    <w:rsid w:val="008A10C4"/>
    <w:rsid w:val="009D2B04"/>
    <w:rsid w:val="009F12A6"/>
    <w:rsid w:val="00A36CA2"/>
    <w:rsid w:val="00AB29A6"/>
    <w:rsid w:val="00AC7D31"/>
    <w:rsid w:val="00AE3463"/>
    <w:rsid w:val="00AF0013"/>
    <w:rsid w:val="00B14C38"/>
    <w:rsid w:val="00B215DE"/>
    <w:rsid w:val="00B653C9"/>
    <w:rsid w:val="00BA6103"/>
    <w:rsid w:val="00C50DBA"/>
    <w:rsid w:val="00C860CB"/>
    <w:rsid w:val="00CD42A7"/>
    <w:rsid w:val="00CF277C"/>
    <w:rsid w:val="00D24940"/>
    <w:rsid w:val="00E14CF8"/>
    <w:rsid w:val="00E45421"/>
    <w:rsid w:val="00E5502D"/>
    <w:rsid w:val="00F01FEB"/>
    <w:rsid w:val="00F353A7"/>
    <w:rsid w:val="00FD504A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6035"/>
  <w15:chartTrackingRefBased/>
  <w15:docId w15:val="{30CF75D8-1676-F84A-BD4F-00DBCD6A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EB"/>
    <w:pPr>
      <w:spacing w:after="0" w:line="240" w:lineRule="auto"/>
    </w:pPr>
    <w:rPr>
      <w:rFonts w:ascii="Atlas Grotesk Regular" w:eastAsiaTheme="minorHAnsi" w:hAnsi="Atlas Grotesk Regular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2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2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2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2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AU"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2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AU"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2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AU"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2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AU"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2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AU"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2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AU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TW"/>
    </w:rPr>
  </w:style>
  <w:style w:type="character" w:customStyle="1" w:styleId="TitleChar">
    <w:name w:val="Title Char"/>
    <w:basedOn w:val="DefaultParagraphFont"/>
    <w:link w:val="Title"/>
    <w:uiPriority w:val="10"/>
    <w:rsid w:val="0026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2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26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2EB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4"/>
      <w:szCs w:val="24"/>
      <w:lang w:val="en-AU" w:eastAsia="zh-TW"/>
    </w:rPr>
  </w:style>
  <w:style w:type="character" w:customStyle="1" w:styleId="QuoteChar">
    <w:name w:val="Quote Char"/>
    <w:basedOn w:val="DefaultParagraphFont"/>
    <w:link w:val="Quote"/>
    <w:uiPriority w:val="29"/>
    <w:rsid w:val="00266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2EB"/>
    <w:pPr>
      <w:spacing w:after="160" w:line="278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AU" w:eastAsia="zh-TW"/>
    </w:rPr>
  </w:style>
  <w:style w:type="character" w:styleId="IntenseEmphasis">
    <w:name w:val="Intense Emphasis"/>
    <w:basedOn w:val="DefaultParagraphFont"/>
    <w:uiPriority w:val="21"/>
    <w:qFormat/>
    <w:rsid w:val="00266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4"/>
      <w:szCs w:val="24"/>
      <w:lang w:val="en-AU"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2E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A6BC5"/>
    <w:pPr>
      <w:spacing w:after="0" w:line="240" w:lineRule="auto"/>
    </w:pPr>
    <w:rPr>
      <w:rFonts w:ascii="Atlas Grotesk Regular" w:eastAsiaTheme="minorHAnsi" w:hAnsi="Atlas Grotesk Regular"/>
      <w:sz w:val="22"/>
      <w:szCs w:val="22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Chan</dc:creator>
  <cp:keywords/>
  <dc:description/>
  <cp:lastModifiedBy>Andrea Chan</cp:lastModifiedBy>
  <cp:revision>3</cp:revision>
  <dcterms:created xsi:type="dcterms:W3CDTF">2025-05-17T14:39:00Z</dcterms:created>
  <dcterms:modified xsi:type="dcterms:W3CDTF">2025-05-17T14:39:00Z</dcterms:modified>
</cp:coreProperties>
</file>