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10AE" w14:textId="77777777" w:rsidR="00550CAA" w:rsidRPr="00B2524B" w:rsidRDefault="00550CAA" w:rsidP="00550CAA">
      <w:pPr>
        <w:pStyle w:val="p1"/>
        <w:spacing w:after="2"/>
        <w:jc w:val="both"/>
        <w:rPr>
          <w:b/>
          <w:bCs/>
          <w:sz w:val="22"/>
          <w:szCs w:val="22"/>
        </w:rPr>
      </w:pPr>
      <w:r w:rsidRPr="00B2524B">
        <w:rPr>
          <w:b/>
          <w:bCs/>
          <w:sz w:val="22"/>
          <w:szCs w:val="22"/>
        </w:rPr>
        <w:t>Title</w:t>
      </w:r>
    </w:p>
    <w:p w14:paraId="3E1B8CBA" w14:textId="77777777" w:rsidR="00550CAA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>Cohort Analysis of SGLT2 Inhibitor-Induced Diabetic</w:t>
      </w:r>
      <w:r w:rsidR="00B56B47" w:rsidRPr="00B2524B">
        <w:rPr>
          <w:sz w:val="22"/>
          <w:szCs w:val="22"/>
        </w:rPr>
        <w:t xml:space="preserve"> </w:t>
      </w:r>
      <w:r w:rsidRPr="00B2524B">
        <w:rPr>
          <w:sz w:val="22"/>
          <w:szCs w:val="22"/>
        </w:rPr>
        <w:t xml:space="preserve">Ketoacidosis in </w:t>
      </w:r>
      <w:r w:rsidR="00B56B47" w:rsidRPr="00B2524B">
        <w:rPr>
          <w:sz w:val="22"/>
          <w:szCs w:val="22"/>
        </w:rPr>
        <w:t xml:space="preserve">hospitalised people with </w:t>
      </w:r>
      <w:r w:rsidRPr="00B2524B">
        <w:rPr>
          <w:sz w:val="22"/>
          <w:szCs w:val="22"/>
        </w:rPr>
        <w:t>Type 2 Diabetes Mellitus.</w:t>
      </w:r>
    </w:p>
    <w:p w14:paraId="5DAB6C7B" w14:textId="16646F20" w:rsidR="00550CAA" w:rsidRDefault="00550CAA" w:rsidP="00550CAA">
      <w:pPr>
        <w:pStyle w:val="p1"/>
        <w:spacing w:after="2"/>
        <w:jc w:val="both"/>
        <w:rPr>
          <w:sz w:val="22"/>
          <w:szCs w:val="22"/>
        </w:rPr>
      </w:pPr>
    </w:p>
    <w:p w14:paraId="2E0A6F91" w14:textId="77777777" w:rsidR="00550CAA" w:rsidRPr="00B2524B" w:rsidRDefault="00550CAA" w:rsidP="00550CAA">
      <w:pPr>
        <w:pStyle w:val="p1"/>
        <w:spacing w:after="2"/>
        <w:jc w:val="both"/>
        <w:rPr>
          <w:b/>
          <w:bCs/>
          <w:sz w:val="22"/>
          <w:szCs w:val="22"/>
        </w:rPr>
      </w:pPr>
      <w:r w:rsidRPr="00B2524B">
        <w:rPr>
          <w:b/>
          <w:bCs/>
          <w:sz w:val="22"/>
          <w:szCs w:val="22"/>
        </w:rPr>
        <w:t>Background</w:t>
      </w:r>
    </w:p>
    <w:p w14:paraId="3D44631A" w14:textId="77777777" w:rsidR="00550CAA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>Sodium-glucose cotransporter-2 inhibitors (SGLT2i) are widely used agents for Type 2 Diabetes Mellitus (T2DM), and cardiac and renal disease. Diabetic ketoacidosis (DKA) is a possible serious adverse effect of SGLT2i use. Risk factors include infection, fasting, dehydration, surgery and non-adherence with medications; all are common during acute hospital care.</w:t>
      </w:r>
    </w:p>
    <w:p w14:paraId="6A05A809" w14:textId="77777777" w:rsidR="00550CAA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</w:p>
    <w:p w14:paraId="2FC8C62C" w14:textId="77777777" w:rsidR="00550CAA" w:rsidRPr="00B2524B" w:rsidRDefault="00550CAA" w:rsidP="00550CAA">
      <w:pPr>
        <w:pStyle w:val="p1"/>
        <w:spacing w:after="2"/>
        <w:jc w:val="both"/>
        <w:rPr>
          <w:b/>
          <w:bCs/>
          <w:sz w:val="22"/>
          <w:szCs w:val="22"/>
        </w:rPr>
      </w:pPr>
      <w:r w:rsidRPr="00B2524B">
        <w:rPr>
          <w:b/>
          <w:bCs/>
          <w:sz w:val="22"/>
          <w:szCs w:val="22"/>
        </w:rPr>
        <w:t>Aim</w:t>
      </w:r>
    </w:p>
    <w:p w14:paraId="69DDAAE9" w14:textId="77777777" w:rsidR="00550CAA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>To analyse characteristics among T2DM in-patients who experienced SGLT2i-induced DKA (SGLT2i-DKA) and compare 2022-2024 trends.</w:t>
      </w:r>
    </w:p>
    <w:p w14:paraId="5A39BBE3" w14:textId="77777777" w:rsidR="00550CAA" w:rsidRPr="00B2524B" w:rsidRDefault="00550CAA" w:rsidP="00550CAA">
      <w:pPr>
        <w:pStyle w:val="p1"/>
        <w:spacing w:after="2"/>
        <w:jc w:val="both"/>
        <w:rPr>
          <w:b/>
          <w:bCs/>
          <w:sz w:val="22"/>
          <w:szCs w:val="22"/>
        </w:rPr>
      </w:pPr>
    </w:p>
    <w:p w14:paraId="206DFFD0" w14:textId="77777777" w:rsidR="00550CAA" w:rsidRPr="00B2524B" w:rsidRDefault="00550CAA" w:rsidP="00550CAA">
      <w:pPr>
        <w:pStyle w:val="p1"/>
        <w:spacing w:after="2"/>
        <w:jc w:val="both"/>
        <w:rPr>
          <w:b/>
          <w:bCs/>
          <w:sz w:val="22"/>
          <w:szCs w:val="22"/>
        </w:rPr>
      </w:pPr>
      <w:r w:rsidRPr="00B2524B">
        <w:rPr>
          <w:b/>
          <w:bCs/>
          <w:sz w:val="22"/>
          <w:szCs w:val="22"/>
        </w:rPr>
        <w:t>Method</w:t>
      </w:r>
    </w:p>
    <w:p w14:paraId="4034DFA6" w14:textId="77777777" w:rsidR="00CF1B88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 xml:space="preserve">From 2022 patients referred to Liverpool Hospital Inpatient Endocrinology, with SGLT2i-DKA, have been analysed. Twelve months from 2022 </w:t>
      </w:r>
      <w:r w:rsidR="00192C23" w:rsidRPr="00B2524B">
        <w:rPr>
          <w:sz w:val="22"/>
          <w:szCs w:val="22"/>
        </w:rPr>
        <w:t xml:space="preserve">were </w:t>
      </w:r>
      <w:r w:rsidRPr="00B2524B">
        <w:rPr>
          <w:sz w:val="22"/>
          <w:szCs w:val="22"/>
        </w:rPr>
        <w:t>presented; here</w:t>
      </w:r>
      <w:r w:rsidR="00CF1B88" w:rsidRPr="00B2524B">
        <w:rPr>
          <w:sz w:val="22"/>
          <w:szCs w:val="22"/>
        </w:rPr>
        <w:t xml:space="preserve"> we </w:t>
      </w:r>
      <w:r w:rsidRPr="00B2524B">
        <w:rPr>
          <w:sz w:val="22"/>
          <w:szCs w:val="22"/>
        </w:rPr>
        <w:t xml:space="preserve">present </w:t>
      </w:r>
      <w:r w:rsidR="00CF1B88" w:rsidRPr="00B2524B">
        <w:rPr>
          <w:sz w:val="22"/>
          <w:szCs w:val="22"/>
        </w:rPr>
        <w:t xml:space="preserve">the </w:t>
      </w:r>
      <w:r w:rsidRPr="00B2524B">
        <w:rPr>
          <w:sz w:val="22"/>
          <w:szCs w:val="22"/>
        </w:rPr>
        <w:t xml:space="preserve">2024 analyses </w:t>
      </w:r>
      <w:r w:rsidR="00CF1B88" w:rsidRPr="00B2524B">
        <w:rPr>
          <w:sz w:val="22"/>
          <w:szCs w:val="22"/>
        </w:rPr>
        <w:t>and at the conference the 12 months to months comparison.</w:t>
      </w:r>
    </w:p>
    <w:p w14:paraId="41C8F396" w14:textId="77777777" w:rsidR="00CF1B88" w:rsidRPr="00B2524B" w:rsidRDefault="00CF1B88" w:rsidP="00550CAA">
      <w:pPr>
        <w:pStyle w:val="p1"/>
        <w:spacing w:after="2"/>
        <w:jc w:val="both"/>
        <w:rPr>
          <w:sz w:val="22"/>
          <w:szCs w:val="22"/>
        </w:rPr>
      </w:pPr>
    </w:p>
    <w:p w14:paraId="36704A0D" w14:textId="77777777" w:rsidR="00550CAA" w:rsidRPr="00B2524B" w:rsidRDefault="00550CAA" w:rsidP="00550CAA">
      <w:pPr>
        <w:pStyle w:val="p1"/>
        <w:spacing w:after="2"/>
        <w:jc w:val="both"/>
        <w:rPr>
          <w:b/>
          <w:bCs/>
          <w:sz w:val="22"/>
          <w:szCs w:val="22"/>
        </w:rPr>
      </w:pPr>
      <w:r w:rsidRPr="00B2524B">
        <w:rPr>
          <w:b/>
          <w:bCs/>
          <w:sz w:val="22"/>
          <w:szCs w:val="22"/>
        </w:rPr>
        <w:t>Results</w:t>
      </w:r>
    </w:p>
    <w:p w14:paraId="63CA57E9" w14:textId="77777777" w:rsidR="00550CAA" w:rsidRPr="00B2524B" w:rsidRDefault="00B2524B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 xml:space="preserve">For 2024: 22 </w:t>
      </w:r>
      <w:r w:rsidR="00550CAA" w:rsidRPr="00B2524B">
        <w:rPr>
          <w:sz w:val="22"/>
          <w:szCs w:val="22"/>
        </w:rPr>
        <w:t>patients (50% male) were assessed; (</w:t>
      </w:r>
      <w:proofErr w:type="spellStart"/>
      <w:r w:rsidR="00550CAA" w:rsidRPr="00B2524B">
        <w:rPr>
          <w:sz w:val="22"/>
          <w:szCs w:val="22"/>
        </w:rPr>
        <w:t>mean±SD</w:t>
      </w:r>
      <w:proofErr w:type="spellEnd"/>
      <w:r w:rsidR="00550CAA" w:rsidRPr="00B2524B">
        <w:rPr>
          <w:sz w:val="22"/>
          <w:szCs w:val="22"/>
        </w:rPr>
        <w:t>) age 67.2±15.6years, T2DM</w:t>
      </w:r>
    </w:p>
    <w:p w14:paraId="2126BB6C" w14:textId="77777777" w:rsidR="00550CAA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 xml:space="preserve">duration 13.9±9.6years, HbA1c 9.7±2.1%, length of hospital </w:t>
      </w:r>
      <w:proofErr w:type="gramStart"/>
      <w:r w:rsidRPr="00B2524B">
        <w:rPr>
          <w:sz w:val="22"/>
          <w:szCs w:val="22"/>
        </w:rPr>
        <w:t>stay</w:t>
      </w:r>
      <w:proofErr w:type="gramEnd"/>
      <w:r w:rsidRPr="00B2524B">
        <w:rPr>
          <w:sz w:val="22"/>
          <w:szCs w:val="22"/>
        </w:rPr>
        <w:t xml:space="preserve"> to </w:t>
      </w:r>
      <w:proofErr w:type="spellStart"/>
      <w:r w:rsidRPr="00B2524B">
        <w:rPr>
          <w:sz w:val="22"/>
          <w:szCs w:val="22"/>
        </w:rPr>
        <w:t>eDKA</w:t>
      </w:r>
      <w:proofErr w:type="spellEnd"/>
      <w:r w:rsidRPr="00B2524B">
        <w:rPr>
          <w:sz w:val="22"/>
          <w:szCs w:val="22"/>
        </w:rPr>
        <w:t xml:space="preserve"> 1.0±0.9days.</w:t>
      </w:r>
    </w:p>
    <w:p w14:paraId="13017B79" w14:textId="77777777" w:rsidR="00B2524B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 xml:space="preserve">Time from fasting to </w:t>
      </w:r>
      <w:proofErr w:type="spellStart"/>
      <w:r w:rsidRPr="00B2524B">
        <w:rPr>
          <w:sz w:val="22"/>
          <w:szCs w:val="22"/>
        </w:rPr>
        <w:t>eDKA</w:t>
      </w:r>
      <w:proofErr w:type="spellEnd"/>
      <w:r w:rsidRPr="00B2524B">
        <w:rPr>
          <w:sz w:val="22"/>
          <w:szCs w:val="22"/>
        </w:rPr>
        <w:t xml:space="preserve"> 5.9±7.5hrs</w:t>
      </w:r>
      <w:r w:rsidR="00B2524B" w:rsidRPr="00B2524B">
        <w:rPr>
          <w:sz w:val="22"/>
          <w:szCs w:val="22"/>
        </w:rPr>
        <w:t>;</w:t>
      </w:r>
      <w:r w:rsidRPr="00B2524B">
        <w:rPr>
          <w:sz w:val="22"/>
          <w:szCs w:val="22"/>
        </w:rPr>
        <w:t xml:space="preserve"> time to resolve </w:t>
      </w:r>
      <w:proofErr w:type="spellStart"/>
      <w:r w:rsidRPr="00B2524B">
        <w:rPr>
          <w:sz w:val="22"/>
          <w:szCs w:val="22"/>
        </w:rPr>
        <w:t>eDKA</w:t>
      </w:r>
      <w:proofErr w:type="spellEnd"/>
      <w:r w:rsidRPr="00B2524B">
        <w:rPr>
          <w:sz w:val="22"/>
          <w:szCs w:val="22"/>
        </w:rPr>
        <w:t xml:space="preserve"> 9.6±4.8hrs. </w:t>
      </w:r>
    </w:p>
    <w:p w14:paraId="468B1437" w14:textId="77777777" w:rsidR="00550CAA" w:rsidRPr="00B2524B" w:rsidRDefault="00B2524B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>E</w:t>
      </w:r>
      <w:r w:rsidR="00550CAA" w:rsidRPr="00B2524B">
        <w:rPr>
          <w:sz w:val="22"/>
          <w:szCs w:val="22"/>
        </w:rPr>
        <w:t xml:space="preserve">mpagliflozin </w:t>
      </w:r>
      <w:r w:rsidRPr="00B2524B">
        <w:rPr>
          <w:sz w:val="22"/>
          <w:szCs w:val="22"/>
        </w:rPr>
        <w:t xml:space="preserve">86%, </w:t>
      </w:r>
      <w:r w:rsidR="00550CAA" w:rsidRPr="00B2524B">
        <w:rPr>
          <w:sz w:val="22"/>
          <w:szCs w:val="22"/>
        </w:rPr>
        <w:t>dapagliflozin</w:t>
      </w:r>
      <w:r w:rsidRPr="00B2524B">
        <w:rPr>
          <w:sz w:val="22"/>
          <w:szCs w:val="22"/>
        </w:rPr>
        <w:t xml:space="preserve"> 14%</w:t>
      </w:r>
      <w:r w:rsidR="00550CAA" w:rsidRPr="00B2524B">
        <w:rPr>
          <w:sz w:val="22"/>
          <w:szCs w:val="22"/>
        </w:rPr>
        <w:t xml:space="preserve">. </w:t>
      </w:r>
      <w:r w:rsidRPr="00B2524B">
        <w:rPr>
          <w:sz w:val="22"/>
          <w:szCs w:val="22"/>
        </w:rPr>
        <w:t xml:space="preserve">Admissions: Surgery: </w:t>
      </w:r>
      <w:r w:rsidR="00550CAA" w:rsidRPr="00B2524B">
        <w:rPr>
          <w:sz w:val="22"/>
          <w:szCs w:val="22"/>
        </w:rPr>
        <w:t>6</w:t>
      </w:r>
      <w:r w:rsidRPr="00B2524B">
        <w:rPr>
          <w:sz w:val="22"/>
          <w:szCs w:val="22"/>
        </w:rPr>
        <w:t xml:space="preserve">; Medicine 15; </w:t>
      </w:r>
      <w:r w:rsidR="00550CAA" w:rsidRPr="00B2524B">
        <w:rPr>
          <w:sz w:val="22"/>
          <w:szCs w:val="22"/>
        </w:rPr>
        <w:t xml:space="preserve">ICU </w:t>
      </w:r>
      <w:r w:rsidRPr="00B2524B">
        <w:rPr>
          <w:sz w:val="22"/>
          <w:szCs w:val="22"/>
        </w:rPr>
        <w:t xml:space="preserve">directly 1. </w:t>
      </w:r>
    </w:p>
    <w:p w14:paraId="18F07371" w14:textId="77777777" w:rsidR="00B2524B" w:rsidRPr="00B2524B" w:rsidRDefault="00B2524B" w:rsidP="00B2524B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 xml:space="preserve">Clinical status: directed fasting </w:t>
      </w:r>
      <w:r w:rsidR="00550CAA" w:rsidRPr="00B2524B">
        <w:rPr>
          <w:sz w:val="22"/>
          <w:szCs w:val="22"/>
        </w:rPr>
        <w:t>11</w:t>
      </w:r>
      <w:r w:rsidRPr="00B2524B">
        <w:rPr>
          <w:sz w:val="22"/>
          <w:szCs w:val="22"/>
        </w:rPr>
        <w:t xml:space="preserve">; </w:t>
      </w:r>
      <w:r w:rsidR="00550CAA" w:rsidRPr="00B2524B">
        <w:rPr>
          <w:sz w:val="22"/>
          <w:szCs w:val="22"/>
        </w:rPr>
        <w:t>infection</w:t>
      </w:r>
      <w:r w:rsidRPr="00B2524B">
        <w:rPr>
          <w:sz w:val="22"/>
          <w:szCs w:val="22"/>
        </w:rPr>
        <w:t xml:space="preserve"> 9</w:t>
      </w:r>
      <w:r w:rsidR="00550CAA" w:rsidRPr="00B2524B">
        <w:rPr>
          <w:sz w:val="22"/>
          <w:szCs w:val="22"/>
        </w:rPr>
        <w:t xml:space="preserve">, </w:t>
      </w:r>
      <w:r w:rsidRPr="00B2524B">
        <w:rPr>
          <w:sz w:val="22"/>
          <w:szCs w:val="22"/>
        </w:rPr>
        <w:t>sepsis 1; directed fasting and infection 6</w:t>
      </w:r>
      <w:r w:rsidR="00550CAA" w:rsidRPr="00B2524B">
        <w:rPr>
          <w:sz w:val="22"/>
          <w:szCs w:val="22"/>
        </w:rPr>
        <w:t xml:space="preserve">. </w:t>
      </w:r>
    </w:p>
    <w:p w14:paraId="27F62C23" w14:textId="60D5FB9E" w:rsidR="00B2524B" w:rsidRPr="00B2524B" w:rsidRDefault="00B2524B" w:rsidP="00550CAA">
      <w:pPr>
        <w:pStyle w:val="p1"/>
        <w:spacing w:after="2"/>
        <w:jc w:val="both"/>
        <w:rPr>
          <w:sz w:val="22"/>
          <w:szCs w:val="22"/>
        </w:rPr>
      </w:pPr>
      <w:r w:rsidRPr="3C27DED7">
        <w:rPr>
          <w:sz w:val="22"/>
          <w:szCs w:val="22"/>
        </w:rPr>
        <w:t xml:space="preserve">SGLT2i-DKA labs: </w:t>
      </w:r>
      <w:r w:rsidR="00550CAA" w:rsidRPr="3C27DED7">
        <w:rPr>
          <w:sz w:val="22"/>
          <w:szCs w:val="22"/>
        </w:rPr>
        <w:t>creatinine 84.5±50.5µmol/L, bicarbonate</w:t>
      </w:r>
      <w:r w:rsidRPr="3C27DED7">
        <w:rPr>
          <w:sz w:val="22"/>
          <w:szCs w:val="22"/>
        </w:rPr>
        <w:t xml:space="preserve"> </w:t>
      </w:r>
      <w:r w:rsidR="00550CAA" w:rsidRPr="3C27DED7">
        <w:rPr>
          <w:sz w:val="22"/>
          <w:szCs w:val="22"/>
        </w:rPr>
        <w:t>18±5.4mmol/L, lactate 2±2.1mmol/L. Initial and worst</w:t>
      </w:r>
      <w:r w:rsidRPr="3C27DED7">
        <w:rPr>
          <w:sz w:val="22"/>
          <w:szCs w:val="22"/>
        </w:rPr>
        <w:t xml:space="preserve"> respectively: </w:t>
      </w:r>
      <w:r w:rsidR="00550CAA" w:rsidRPr="3C27DED7">
        <w:rPr>
          <w:sz w:val="22"/>
          <w:szCs w:val="22"/>
        </w:rPr>
        <w:t>pH (7.3±0.1,7.3±0.1), ketones (4±1.6mmol/L, 2.8±2.0mmol/L), BGLs (10.1±3.2mmol/L</w:t>
      </w:r>
      <w:r w:rsidR="570B90BB" w:rsidRPr="3C27DED7">
        <w:rPr>
          <w:sz w:val="22"/>
          <w:szCs w:val="22"/>
        </w:rPr>
        <w:t xml:space="preserve">, </w:t>
      </w:r>
      <w:r w:rsidR="00550CAA" w:rsidRPr="3C27DED7">
        <w:rPr>
          <w:sz w:val="22"/>
          <w:szCs w:val="22"/>
        </w:rPr>
        <w:t xml:space="preserve">14.7±3.1mmol/L). </w:t>
      </w:r>
    </w:p>
    <w:p w14:paraId="27337CD6" w14:textId="77777777" w:rsidR="00B2524B" w:rsidRPr="00B2524B" w:rsidRDefault="00B2524B" w:rsidP="00B2524B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>For SGLT2i-DKA management</w:t>
      </w:r>
      <w:r w:rsidR="00550CAA" w:rsidRPr="00B2524B">
        <w:rPr>
          <w:sz w:val="22"/>
          <w:szCs w:val="22"/>
        </w:rPr>
        <w:t xml:space="preserve">, 4 </w:t>
      </w:r>
      <w:r w:rsidRPr="00B2524B">
        <w:rPr>
          <w:sz w:val="22"/>
          <w:szCs w:val="22"/>
        </w:rPr>
        <w:t xml:space="preserve">were </w:t>
      </w:r>
      <w:r w:rsidR="00550CAA" w:rsidRPr="00B2524B">
        <w:rPr>
          <w:sz w:val="22"/>
          <w:szCs w:val="22"/>
        </w:rPr>
        <w:t>transferred to ICU, 2 had</w:t>
      </w:r>
      <w:r w:rsidRPr="00B2524B">
        <w:rPr>
          <w:sz w:val="22"/>
          <w:szCs w:val="22"/>
        </w:rPr>
        <w:t xml:space="preserve"> </w:t>
      </w:r>
      <w:r w:rsidR="00550CAA" w:rsidRPr="00B2524B">
        <w:rPr>
          <w:sz w:val="22"/>
          <w:szCs w:val="22"/>
        </w:rPr>
        <w:t xml:space="preserve">procedures cancelled/delayed, 4 </w:t>
      </w:r>
      <w:r w:rsidRPr="00B2524B">
        <w:rPr>
          <w:sz w:val="22"/>
          <w:szCs w:val="22"/>
        </w:rPr>
        <w:t xml:space="preserve">progressed their </w:t>
      </w:r>
      <w:r w:rsidR="00550CAA" w:rsidRPr="00B2524B">
        <w:rPr>
          <w:sz w:val="22"/>
          <w:szCs w:val="22"/>
        </w:rPr>
        <w:t>DKA</w:t>
      </w:r>
      <w:r w:rsidRPr="00B2524B">
        <w:rPr>
          <w:sz w:val="22"/>
          <w:szCs w:val="22"/>
        </w:rPr>
        <w:t xml:space="preserve">.  </w:t>
      </w:r>
    </w:p>
    <w:p w14:paraId="7260DB16" w14:textId="77777777" w:rsidR="00B2524B" w:rsidRPr="00B2524B" w:rsidRDefault="00B2524B" w:rsidP="00B2524B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 xml:space="preserve">For </w:t>
      </w:r>
      <w:r w:rsidR="00550CAA" w:rsidRPr="00B2524B">
        <w:rPr>
          <w:sz w:val="22"/>
          <w:szCs w:val="22"/>
        </w:rPr>
        <w:t xml:space="preserve">discharge, </w:t>
      </w:r>
      <w:r w:rsidRPr="00B2524B">
        <w:rPr>
          <w:sz w:val="22"/>
          <w:szCs w:val="22"/>
        </w:rPr>
        <w:t xml:space="preserve">2 died during the admission, </w:t>
      </w:r>
      <w:r w:rsidR="00550CAA" w:rsidRPr="00B2524B">
        <w:rPr>
          <w:sz w:val="22"/>
          <w:szCs w:val="22"/>
        </w:rPr>
        <w:t xml:space="preserve">4 were </w:t>
      </w:r>
      <w:r w:rsidRPr="00B2524B">
        <w:rPr>
          <w:sz w:val="22"/>
          <w:szCs w:val="22"/>
        </w:rPr>
        <w:t xml:space="preserve">new onto </w:t>
      </w:r>
      <w:r w:rsidR="00550CAA" w:rsidRPr="00B2524B">
        <w:rPr>
          <w:sz w:val="22"/>
          <w:szCs w:val="22"/>
        </w:rPr>
        <w:t>insulin,</w:t>
      </w:r>
      <w:r w:rsidRPr="00B2524B">
        <w:rPr>
          <w:sz w:val="22"/>
          <w:szCs w:val="22"/>
        </w:rPr>
        <w:t xml:space="preserve"> </w:t>
      </w:r>
      <w:r w:rsidR="00550CAA" w:rsidRPr="00B2524B">
        <w:rPr>
          <w:sz w:val="22"/>
          <w:szCs w:val="22"/>
        </w:rPr>
        <w:t xml:space="preserve">and </w:t>
      </w:r>
      <w:r w:rsidRPr="00B2524B">
        <w:rPr>
          <w:sz w:val="22"/>
          <w:szCs w:val="22"/>
        </w:rPr>
        <w:t xml:space="preserve">90% </w:t>
      </w:r>
      <w:r w:rsidR="00550CAA" w:rsidRPr="00B2524B">
        <w:rPr>
          <w:sz w:val="22"/>
          <w:szCs w:val="22"/>
        </w:rPr>
        <w:t xml:space="preserve">were discharged without </w:t>
      </w:r>
      <w:r w:rsidRPr="00B2524B">
        <w:rPr>
          <w:sz w:val="22"/>
          <w:szCs w:val="22"/>
        </w:rPr>
        <w:t xml:space="preserve">restarting </w:t>
      </w:r>
      <w:r w:rsidR="00550CAA" w:rsidRPr="00B2524B">
        <w:rPr>
          <w:sz w:val="22"/>
          <w:szCs w:val="22"/>
        </w:rPr>
        <w:t>SGLT2i</w:t>
      </w:r>
      <w:r w:rsidRPr="00B2524B">
        <w:rPr>
          <w:sz w:val="22"/>
          <w:szCs w:val="22"/>
        </w:rPr>
        <w:t>.</w:t>
      </w:r>
    </w:p>
    <w:p w14:paraId="72A3D3EC" w14:textId="77777777" w:rsidR="00B2524B" w:rsidRPr="00B2524B" w:rsidRDefault="00B2524B" w:rsidP="00550CAA">
      <w:pPr>
        <w:pStyle w:val="p1"/>
        <w:spacing w:after="2"/>
        <w:jc w:val="both"/>
        <w:rPr>
          <w:sz w:val="22"/>
          <w:szCs w:val="22"/>
        </w:rPr>
      </w:pPr>
    </w:p>
    <w:p w14:paraId="2B2A7A39" w14:textId="77777777" w:rsidR="00550CAA" w:rsidRPr="00B2524B" w:rsidRDefault="00550CAA" w:rsidP="00550CAA">
      <w:pPr>
        <w:pStyle w:val="p1"/>
        <w:spacing w:after="2"/>
        <w:jc w:val="both"/>
        <w:rPr>
          <w:b/>
          <w:bCs/>
          <w:sz w:val="22"/>
          <w:szCs w:val="22"/>
        </w:rPr>
      </w:pPr>
      <w:r w:rsidRPr="00B2524B">
        <w:rPr>
          <w:b/>
          <w:bCs/>
          <w:sz w:val="22"/>
          <w:szCs w:val="22"/>
        </w:rPr>
        <w:t>Conclusion</w:t>
      </w:r>
    </w:p>
    <w:p w14:paraId="6CB332C4" w14:textId="77777777" w:rsidR="00550CAA" w:rsidRPr="00B2524B" w:rsidRDefault="00550CAA" w:rsidP="00550CAA">
      <w:pPr>
        <w:pStyle w:val="p1"/>
        <w:spacing w:after="2"/>
        <w:jc w:val="both"/>
        <w:rPr>
          <w:sz w:val="22"/>
          <w:szCs w:val="22"/>
        </w:rPr>
      </w:pPr>
      <w:r w:rsidRPr="00B2524B">
        <w:rPr>
          <w:sz w:val="22"/>
          <w:szCs w:val="22"/>
        </w:rPr>
        <w:t xml:space="preserve">SGLT2i-DKA occurred in </w:t>
      </w:r>
      <w:r w:rsidR="00B2524B" w:rsidRPr="00B2524B">
        <w:rPr>
          <w:sz w:val="22"/>
          <w:szCs w:val="22"/>
        </w:rPr>
        <w:t xml:space="preserve">those </w:t>
      </w:r>
      <w:r w:rsidRPr="00B2524B">
        <w:rPr>
          <w:sz w:val="22"/>
          <w:szCs w:val="22"/>
        </w:rPr>
        <w:t>with poor glycaemic control</w:t>
      </w:r>
      <w:r w:rsidR="00B2524B" w:rsidRPr="00B2524B">
        <w:rPr>
          <w:sz w:val="22"/>
          <w:szCs w:val="22"/>
        </w:rPr>
        <w:t xml:space="preserve">, in </w:t>
      </w:r>
      <w:r w:rsidRPr="00B2524B">
        <w:rPr>
          <w:sz w:val="22"/>
          <w:szCs w:val="22"/>
        </w:rPr>
        <w:t xml:space="preserve">admissions </w:t>
      </w:r>
      <w:r w:rsidR="00B2524B" w:rsidRPr="00B2524B">
        <w:rPr>
          <w:sz w:val="22"/>
          <w:szCs w:val="22"/>
        </w:rPr>
        <w:t>via emergency and who had infection</w:t>
      </w:r>
      <w:r w:rsidRPr="00B2524B">
        <w:rPr>
          <w:sz w:val="22"/>
          <w:szCs w:val="22"/>
        </w:rPr>
        <w:t xml:space="preserve">. </w:t>
      </w:r>
      <w:r w:rsidR="00B2524B" w:rsidRPr="00B2524B">
        <w:rPr>
          <w:sz w:val="22"/>
          <w:szCs w:val="22"/>
        </w:rPr>
        <w:t xml:space="preserve">Time to detection was short and cases </w:t>
      </w:r>
      <w:r w:rsidRPr="00B2524B">
        <w:rPr>
          <w:sz w:val="22"/>
          <w:szCs w:val="22"/>
        </w:rPr>
        <w:t xml:space="preserve">treated and resolved </w:t>
      </w:r>
      <w:r w:rsidR="00B2524B" w:rsidRPr="00B2524B">
        <w:rPr>
          <w:sz w:val="22"/>
          <w:szCs w:val="22"/>
        </w:rPr>
        <w:t xml:space="preserve">within </w:t>
      </w:r>
      <w:r w:rsidRPr="00B2524B">
        <w:rPr>
          <w:sz w:val="22"/>
          <w:szCs w:val="22"/>
        </w:rPr>
        <w:t>24hours</w:t>
      </w:r>
      <w:r w:rsidR="00B2524B" w:rsidRPr="00B2524B">
        <w:rPr>
          <w:sz w:val="22"/>
          <w:szCs w:val="22"/>
        </w:rPr>
        <w:t xml:space="preserve">. Review of temporal trends can assist teams to stratify risk of SGLT2i-DKA, detect early </w:t>
      </w:r>
      <w:proofErr w:type="gramStart"/>
      <w:r w:rsidR="00B2524B" w:rsidRPr="00B2524B">
        <w:rPr>
          <w:sz w:val="22"/>
          <w:szCs w:val="22"/>
        </w:rPr>
        <w:t>and also</w:t>
      </w:r>
      <w:proofErr w:type="gramEnd"/>
      <w:r w:rsidR="00B2524B" w:rsidRPr="00B2524B">
        <w:rPr>
          <w:sz w:val="22"/>
          <w:szCs w:val="22"/>
        </w:rPr>
        <w:t xml:space="preserve"> better manage discharge advice.</w:t>
      </w:r>
    </w:p>
    <w:p w14:paraId="0D0B940D" w14:textId="77777777" w:rsidR="00B2524B" w:rsidRPr="00B2524B" w:rsidRDefault="00B2524B" w:rsidP="00550CAA">
      <w:pPr>
        <w:pStyle w:val="p1"/>
        <w:spacing w:after="2"/>
        <w:jc w:val="both"/>
        <w:rPr>
          <w:sz w:val="22"/>
          <w:szCs w:val="22"/>
        </w:rPr>
      </w:pPr>
    </w:p>
    <w:p w14:paraId="0E27B00A" w14:textId="77777777" w:rsidR="000F6231" w:rsidRDefault="000F6231" w:rsidP="00550CAA">
      <w:pPr>
        <w:spacing w:after="2"/>
        <w:jc w:val="both"/>
      </w:pPr>
    </w:p>
    <w:sectPr w:rsidR="000F6231" w:rsidSect="00550CAA">
      <w:pgSz w:w="11906" w:h="16838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AA"/>
    <w:rsid w:val="00030839"/>
    <w:rsid w:val="00030D99"/>
    <w:rsid w:val="00031976"/>
    <w:rsid w:val="000334FC"/>
    <w:rsid w:val="00042AEE"/>
    <w:rsid w:val="00056FFD"/>
    <w:rsid w:val="0007474D"/>
    <w:rsid w:val="000778E9"/>
    <w:rsid w:val="000963CA"/>
    <w:rsid w:val="000A2D7B"/>
    <w:rsid w:val="000B533C"/>
    <w:rsid w:val="000C0C0B"/>
    <w:rsid w:val="000F6231"/>
    <w:rsid w:val="000F76D4"/>
    <w:rsid w:val="000F7756"/>
    <w:rsid w:val="00110CEB"/>
    <w:rsid w:val="00115B5D"/>
    <w:rsid w:val="001219E6"/>
    <w:rsid w:val="00156A49"/>
    <w:rsid w:val="001576B4"/>
    <w:rsid w:val="0016225A"/>
    <w:rsid w:val="001709ED"/>
    <w:rsid w:val="00176E9A"/>
    <w:rsid w:val="00185A63"/>
    <w:rsid w:val="00192C23"/>
    <w:rsid w:val="001A0296"/>
    <w:rsid w:val="001A02C0"/>
    <w:rsid w:val="001A70E2"/>
    <w:rsid w:val="001B2B96"/>
    <w:rsid w:val="001B5AC5"/>
    <w:rsid w:val="001E743E"/>
    <w:rsid w:val="001F4EEC"/>
    <w:rsid w:val="00216CA1"/>
    <w:rsid w:val="00223A1B"/>
    <w:rsid w:val="0022579D"/>
    <w:rsid w:val="00225CE9"/>
    <w:rsid w:val="00226B6D"/>
    <w:rsid w:val="00244F2C"/>
    <w:rsid w:val="00250B9E"/>
    <w:rsid w:val="00253D92"/>
    <w:rsid w:val="00273228"/>
    <w:rsid w:val="00276BDC"/>
    <w:rsid w:val="0028141D"/>
    <w:rsid w:val="002875A0"/>
    <w:rsid w:val="002A2BC7"/>
    <w:rsid w:val="002A6D3E"/>
    <w:rsid w:val="002B1296"/>
    <w:rsid w:val="002C66E5"/>
    <w:rsid w:val="002C683F"/>
    <w:rsid w:val="002C6D80"/>
    <w:rsid w:val="002D6D99"/>
    <w:rsid w:val="002D76EC"/>
    <w:rsid w:val="003113B1"/>
    <w:rsid w:val="003278AC"/>
    <w:rsid w:val="0033408F"/>
    <w:rsid w:val="003454E9"/>
    <w:rsid w:val="00370D82"/>
    <w:rsid w:val="003714F2"/>
    <w:rsid w:val="003723E4"/>
    <w:rsid w:val="003725E0"/>
    <w:rsid w:val="0038194B"/>
    <w:rsid w:val="00390FE1"/>
    <w:rsid w:val="00395422"/>
    <w:rsid w:val="003A00A8"/>
    <w:rsid w:val="003B1C15"/>
    <w:rsid w:val="003B53C8"/>
    <w:rsid w:val="003E2A8C"/>
    <w:rsid w:val="003E6AE2"/>
    <w:rsid w:val="003F4612"/>
    <w:rsid w:val="00416077"/>
    <w:rsid w:val="0041796B"/>
    <w:rsid w:val="00430C7C"/>
    <w:rsid w:val="004343C3"/>
    <w:rsid w:val="00437EC6"/>
    <w:rsid w:val="00480EF4"/>
    <w:rsid w:val="00496F82"/>
    <w:rsid w:val="004A0B77"/>
    <w:rsid w:val="004B60EE"/>
    <w:rsid w:val="004C0FA5"/>
    <w:rsid w:val="004E68B2"/>
    <w:rsid w:val="004F45B9"/>
    <w:rsid w:val="00511CA3"/>
    <w:rsid w:val="00523353"/>
    <w:rsid w:val="00531059"/>
    <w:rsid w:val="00544162"/>
    <w:rsid w:val="00545B69"/>
    <w:rsid w:val="005471E0"/>
    <w:rsid w:val="00550CAA"/>
    <w:rsid w:val="0055650C"/>
    <w:rsid w:val="00557E16"/>
    <w:rsid w:val="005734D2"/>
    <w:rsid w:val="00574962"/>
    <w:rsid w:val="00574AF8"/>
    <w:rsid w:val="00575F04"/>
    <w:rsid w:val="00582BA0"/>
    <w:rsid w:val="00590DD1"/>
    <w:rsid w:val="00594E15"/>
    <w:rsid w:val="005968CA"/>
    <w:rsid w:val="005A067C"/>
    <w:rsid w:val="005A22DF"/>
    <w:rsid w:val="005A4112"/>
    <w:rsid w:val="005C0A91"/>
    <w:rsid w:val="005C2896"/>
    <w:rsid w:val="005C3F87"/>
    <w:rsid w:val="005D18CB"/>
    <w:rsid w:val="005F028A"/>
    <w:rsid w:val="005F56AA"/>
    <w:rsid w:val="00601356"/>
    <w:rsid w:val="00613DF5"/>
    <w:rsid w:val="00622DDD"/>
    <w:rsid w:val="006235F8"/>
    <w:rsid w:val="006318C4"/>
    <w:rsid w:val="00640187"/>
    <w:rsid w:val="00646F20"/>
    <w:rsid w:val="00655BF4"/>
    <w:rsid w:val="00676FF7"/>
    <w:rsid w:val="0067779E"/>
    <w:rsid w:val="00684E48"/>
    <w:rsid w:val="006872CB"/>
    <w:rsid w:val="00692C16"/>
    <w:rsid w:val="006A4645"/>
    <w:rsid w:val="006A479C"/>
    <w:rsid w:val="006B2532"/>
    <w:rsid w:val="006B5065"/>
    <w:rsid w:val="006C2864"/>
    <w:rsid w:val="006C2EE9"/>
    <w:rsid w:val="006D1073"/>
    <w:rsid w:val="006D6F5A"/>
    <w:rsid w:val="00706EB6"/>
    <w:rsid w:val="007104E7"/>
    <w:rsid w:val="007418D7"/>
    <w:rsid w:val="00745DDB"/>
    <w:rsid w:val="00755635"/>
    <w:rsid w:val="007579DF"/>
    <w:rsid w:val="007606B9"/>
    <w:rsid w:val="00770DBC"/>
    <w:rsid w:val="0078179C"/>
    <w:rsid w:val="0078286F"/>
    <w:rsid w:val="007961EB"/>
    <w:rsid w:val="007A09DF"/>
    <w:rsid w:val="007B1271"/>
    <w:rsid w:val="007B5A68"/>
    <w:rsid w:val="007D2507"/>
    <w:rsid w:val="007D59EC"/>
    <w:rsid w:val="007D6EF2"/>
    <w:rsid w:val="007E1C76"/>
    <w:rsid w:val="007E5C08"/>
    <w:rsid w:val="007E7BAD"/>
    <w:rsid w:val="007F5457"/>
    <w:rsid w:val="008201CA"/>
    <w:rsid w:val="00825080"/>
    <w:rsid w:val="00826897"/>
    <w:rsid w:val="00846FC8"/>
    <w:rsid w:val="0085374A"/>
    <w:rsid w:val="00855F34"/>
    <w:rsid w:val="008672CD"/>
    <w:rsid w:val="008763B0"/>
    <w:rsid w:val="00893266"/>
    <w:rsid w:val="008A2DFC"/>
    <w:rsid w:val="008C0626"/>
    <w:rsid w:val="008C6C28"/>
    <w:rsid w:val="008D7E77"/>
    <w:rsid w:val="008E4DD0"/>
    <w:rsid w:val="008F04C6"/>
    <w:rsid w:val="0090078F"/>
    <w:rsid w:val="009031E8"/>
    <w:rsid w:val="00906D17"/>
    <w:rsid w:val="00927673"/>
    <w:rsid w:val="00932077"/>
    <w:rsid w:val="00943CD8"/>
    <w:rsid w:val="009440EB"/>
    <w:rsid w:val="00956CCC"/>
    <w:rsid w:val="00956E19"/>
    <w:rsid w:val="009764D3"/>
    <w:rsid w:val="00991B3D"/>
    <w:rsid w:val="0099651D"/>
    <w:rsid w:val="009A509B"/>
    <w:rsid w:val="009C3BEB"/>
    <w:rsid w:val="009C7845"/>
    <w:rsid w:val="009E1CEB"/>
    <w:rsid w:val="009E69D6"/>
    <w:rsid w:val="009F6206"/>
    <w:rsid w:val="00A216A7"/>
    <w:rsid w:val="00A316E9"/>
    <w:rsid w:val="00A35C98"/>
    <w:rsid w:val="00A462E2"/>
    <w:rsid w:val="00A54AAD"/>
    <w:rsid w:val="00A6291F"/>
    <w:rsid w:val="00A6418E"/>
    <w:rsid w:val="00A64340"/>
    <w:rsid w:val="00A7438B"/>
    <w:rsid w:val="00A84E86"/>
    <w:rsid w:val="00AA2117"/>
    <w:rsid w:val="00AA32CE"/>
    <w:rsid w:val="00AA633E"/>
    <w:rsid w:val="00AD7C64"/>
    <w:rsid w:val="00B00C9F"/>
    <w:rsid w:val="00B05BD3"/>
    <w:rsid w:val="00B14939"/>
    <w:rsid w:val="00B2524B"/>
    <w:rsid w:val="00B53137"/>
    <w:rsid w:val="00B554BD"/>
    <w:rsid w:val="00B56B47"/>
    <w:rsid w:val="00B74CF4"/>
    <w:rsid w:val="00BA651E"/>
    <w:rsid w:val="00BA7B03"/>
    <w:rsid w:val="00BB39F7"/>
    <w:rsid w:val="00BC7410"/>
    <w:rsid w:val="00BC7FC0"/>
    <w:rsid w:val="00BD2CBF"/>
    <w:rsid w:val="00BD5311"/>
    <w:rsid w:val="00BD66C5"/>
    <w:rsid w:val="00BE20ED"/>
    <w:rsid w:val="00BF5EB6"/>
    <w:rsid w:val="00BF641B"/>
    <w:rsid w:val="00C0387D"/>
    <w:rsid w:val="00C05DA3"/>
    <w:rsid w:val="00C23D83"/>
    <w:rsid w:val="00C313BC"/>
    <w:rsid w:val="00C35E8D"/>
    <w:rsid w:val="00C400D7"/>
    <w:rsid w:val="00C76035"/>
    <w:rsid w:val="00C81ECD"/>
    <w:rsid w:val="00C86FAD"/>
    <w:rsid w:val="00CB7B37"/>
    <w:rsid w:val="00CC28BB"/>
    <w:rsid w:val="00CD232D"/>
    <w:rsid w:val="00CE04C1"/>
    <w:rsid w:val="00CE1FA7"/>
    <w:rsid w:val="00CF0637"/>
    <w:rsid w:val="00CF0BEF"/>
    <w:rsid w:val="00CF1B88"/>
    <w:rsid w:val="00CF706B"/>
    <w:rsid w:val="00D05F4A"/>
    <w:rsid w:val="00D335E9"/>
    <w:rsid w:val="00D36ECE"/>
    <w:rsid w:val="00DA102E"/>
    <w:rsid w:val="00DA13BD"/>
    <w:rsid w:val="00DC56C4"/>
    <w:rsid w:val="00DE0033"/>
    <w:rsid w:val="00DF7249"/>
    <w:rsid w:val="00E01685"/>
    <w:rsid w:val="00E02251"/>
    <w:rsid w:val="00E122AF"/>
    <w:rsid w:val="00E12E18"/>
    <w:rsid w:val="00E12E58"/>
    <w:rsid w:val="00E16B63"/>
    <w:rsid w:val="00E22B59"/>
    <w:rsid w:val="00E34563"/>
    <w:rsid w:val="00E35BED"/>
    <w:rsid w:val="00E41F9E"/>
    <w:rsid w:val="00E42ED5"/>
    <w:rsid w:val="00E62EA4"/>
    <w:rsid w:val="00E71C4F"/>
    <w:rsid w:val="00E73F41"/>
    <w:rsid w:val="00E8671F"/>
    <w:rsid w:val="00EC6F40"/>
    <w:rsid w:val="00EF5CCC"/>
    <w:rsid w:val="00F33CB0"/>
    <w:rsid w:val="00F34425"/>
    <w:rsid w:val="00F36EE8"/>
    <w:rsid w:val="00F37461"/>
    <w:rsid w:val="00F659C9"/>
    <w:rsid w:val="00F65E8F"/>
    <w:rsid w:val="00F67B7F"/>
    <w:rsid w:val="00F67F63"/>
    <w:rsid w:val="00F70C7C"/>
    <w:rsid w:val="00F7139D"/>
    <w:rsid w:val="00F753B9"/>
    <w:rsid w:val="00F845D9"/>
    <w:rsid w:val="00F976CD"/>
    <w:rsid w:val="00FB1504"/>
    <w:rsid w:val="00FB3A6A"/>
    <w:rsid w:val="00FC091E"/>
    <w:rsid w:val="00FC4060"/>
    <w:rsid w:val="00FC65B5"/>
    <w:rsid w:val="00FE33D8"/>
    <w:rsid w:val="00FF4304"/>
    <w:rsid w:val="2C999D34"/>
    <w:rsid w:val="3C27DED7"/>
    <w:rsid w:val="454CDBE7"/>
    <w:rsid w:val="53140049"/>
    <w:rsid w:val="53B13FE0"/>
    <w:rsid w:val="570B9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65E2"/>
  <w15:chartTrackingRefBased/>
  <w15:docId w15:val="{2FF7828D-B485-8A47-8472-3A3FDC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C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C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C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CAA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C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CAA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CA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50CAA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550CAA"/>
    <w:rPr>
      <w:rFonts w:ascii="Helvetica" w:hAnsi="Helvetica" w:hint="default"/>
      <w:sz w:val="10"/>
      <w:szCs w:val="10"/>
    </w:rPr>
  </w:style>
  <w:style w:type="character" w:customStyle="1" w:styleId="s2">
    <w:name w:val="s2"/>
    <w:basedOn w:val="DefaultParagraphFont"/>
    <w:rsid w:val="00550CAA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72ECB-49E1-44C1-BE91-B44E3320B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7E2D5-8473-4A32-8AF1-E0408E5C9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53D49-E199-40FD-9C8C-497FC6321987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ab52c9b-ab33-4221-8af9-54f8f2b86a80"/>
    <ds:schemaRef ds:uri="9c8a2b7b-0bee-4c48-b0a6-23db8982d3bc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Tanya Yandall</cp:lastModifiedBy>
  <cp:revision>2</cp:revision>
  <dcterms:created xsi:type="dcterms:W3CDTF">2025-05-26T23:40:00Z</dcterms:created>
  <dcterms:modified xsi:type="dcterms:W3CDTF">2025-05-26T23:40:00Z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