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1564A4" w:rsidRPr="0050053A" w14:paraId="5C38377B" w14:textId="77777777" w:rsidTr="002B6B3C">
        <w:trPr>
          <w:trHeight w:val="908"/>
          <w:jc w:val="center"/>
        </w:trPr>
        <w:tc>
          <w:tcPr>
            <w:tcW w:w="8788" w:type="dxa"/>
            <w:shd w:val="clear" w:color="auto" w:fill="auto"/>
          </w:tcPr>
          <w:p w14:paraId="5C44F357" w14:textId="2A0D6EC4" w:rsidR="001564A4" w:rsidRPr="0050053A" w:rsidRDefault="008316BD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8316B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Epithelial</w:t>
            </w:r>
            <w:r w:rsidR="00D3047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</w:t>
            </w:r>
            <w:r w:rsidR="00DA596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</w:t>
            </w:r>
            <w:r w:rsidRPr="008316B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esenchymal</w:t>
            </w:r>
            <w:r w:rsidR="00D3047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</w:t>
            </w:r>
            <w:r w:rsidRPr="008316B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transition</w:t>
            </w:r>
            <w:r w:rsidR="00681B6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(EMT)</w:t>
            </w:r>
            <w:r w:rsidRPr="008316B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97614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changes </w:t>
            </w:r>
            <w:r w:rsidRPr="008316B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 the airway</w:t>
            </w:r>
            <w:r w:rsidR="00DA596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 w:rsidRPr="008316B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of asthma-COPD overlap (ACO)</w:t>
            </w:r>
            <w:r w:rsidR="00D3047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patients</w:t>
            </w:r>
          </w:p>
        </w:tc>
      </w:tr>
      <w:tr w:rsidR="001564A4" w:rsidRPr="0050053A" w14:paraId="0E2E035C" w14:textId="77777777" w:rsidTr="002B6B3C">
        <w:trPr>
          <w:trHeight w:val="893"/>
          <w:jc w:val="center"/>
        </w:trPr>
        <w:tc>
          <w:tcPr>
            <w:tcW w:w="8788" w:type="dxa"/>
            <w:shd w:val="clear" w:color="auto" w:fill="auto"/>
          </w:tcPr>
          <w:p w14:paraId="73B55295" w14:textId="401673C2" w:rsidR="001564A4" w:rsidRPr="008316BD" w:rsidRDefault="008316BD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Wenying Lu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4C28E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Surajit Dey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DA5963">
              <w:rPr>
                <w:rFonts w:ascii="Arial" w:hAnsi="Arial" w:cs="Arial"/>
                <w:sz w:val="22"/>
                <w:szCs w:val="22"/>
                <w:lang w:val="en-US" w:eastAsia="en-GB"/>
              </w:rPr>
              <w:t>Collin Chia</w:t>
            </w:r>
            <w:r w:rsidR="004C28E8" w:rsidRPr="004C28E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2,3,1</w:t>
            </w:r>
            <w:r w:rsidR="00DA5963">
              <w:rPr>
                <w:rFonts w:ascii="Arial" w:hAnsi="Arial" w:cs="Arial"/>
                <w:sz w:val="22"/>
                <w:szCs w:val="22"/>
                <w:lang w:val="en-US" w:eastAsia="en-GB"/>
              </w:rPr>
              <w:t>, Greg Haug</w:t>
            </w:r>
            <w:r w:rsidR="004C28E8" w:rsidRPr="004C28E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3,1</w:t>
            </w:r>
            <w:r w:rsidR="00DA596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Heinrich C Weber</w:t>
            </w:r>
            <w:r w:rsidR="004C28E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Prabuddha S Pathinayake</w:t>
            </w:r>
            <w:r w:rsidR="004C28E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Peter A. B. Wark</w:t>
            </w:r>
            <w:r w:rsidR="004C28E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Mathew S Eapen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Sukhwinder S Sohal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C28E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</w:p>
        </w:tc>
      </w:tr>
      <w:tr w:rsidR="001564A4" w:rsidRPr="0050053A" w14:paraId="385A19D9" w14:textId="77777777" w:rsidTr="002B6B3C">
        <w:trPr>
          <w:trHeight w:val="164"/>
          <w:jc w:val="center"/>
        </w:trPr>
        <w:tc>
          <w:tcPr>
            <w:tcW w:w="8788" w:type="dxa"/>
            <w:shd w:val="clear" w:color="auto" w:fill="auto"/>
          </w:tcPr>
          <w:p w14:paraId="6091652D" w14:textId="77777777" w:rsidR="008316BD" w:rsidRDefault="008316BD" w:rsidP="008316B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8316B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8316B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Translational Research Group, Department of Laboratory Medicine, School of Health Sciences, College of Health and Medicine, University of Tasmania, Launceston, Tasmania, Australia, 7248</w:t>
            </w:r>
          </w:p>
          <w:p w14:paraId="10490DB9" w14:textId="3B87BEB4" w:rsidR="000A30D5" w:rsidRDefault="004E312F" w:rsidP="004E312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Launceston Respiratory and Sleep Centre, Launceston, TAS, Australia.</w:t>
            </w:r>
          </w:p>
          <w:p w14:paraId="1148D28D" w14:textId="4859920D" w:rsidR="004E312F" w:rsidRPr="008316BD" w:rsidRDefault="00457A02" w:rsidP="00457A0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Launceston General Hospital, Launceston, Tasmania 7250, Australia.</w:t>
            </w:r>
          </w:p>
          <w:p w14:paraId="6BCADC27" w14:textId="17636D7F" w:rsidR="001564A4" w:rsidRPr="0050053A" w:rsidRDefault="004E312F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8316BD" w:rsidRPr="008316B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Tasmanian Health Services (THS), North-West Hospital, Burnie, Tasmania, Australia.</w:t>
            </w:r>
            <w:r w:rsidR="001564A4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Third Affiliation</w:t>
            </w:r>
          </w:p>
          <w:p w14:paraId="52E6A6F6" w14:textId="476649A0" w:rsidR="00CF03E3" w:rsidRPr="00CF03E3" w:rsidRDefault="004E312F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8316BD" w:rsidRPr="00CF03E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Priority Research Centre for Healthy Lungs, Hunter Medical Research Institute, University of Newcastle, New Lambton Heights, Australia </w:t>
            </w:r>
          </w:p>
          <w:p w14:paraId="45ED36BF" w14:textId="768C4AC2" w:rsidR="001564A4" w:rsidRPr="0050053A" w:rsidRDefault="004E312F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CF03E3" w:rsidRPr="00CF03E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 John Hunter Hospital, New Lambton Heights, Australia</w:t>
            </w:r>
          </w:p>
        </w:tc>
      </w:tr>
      <w:tr w:rsidR="001564A4" w:rsidRPr="0050053A" w14:paraId="6DAF615A" w14:textId="77777777" w:rsidTr="002B6B3C">
        <w:trPr>
          <w:trHeight w:hRule="exact" w:val="8915"/>
          <w:jc w:val="center"/>
        </w:trPr>
        <w:tc>
          <w:tcPr>
            <w:tcW w:w="8788" w:type="dxa"/>
            <w:shd w:val="clear" w:color="auto" w:fill="auto"/>
          </w:tcPr>
          <w:p w14:paraId="2251F6D5" w14:textId="48BCB8F5" w:rsidR="001564A4" w:rsidRPr="00CF03E3" w:rsidRDefault="001564A4" w:rsidP="00CF03E3">
            <w:pPr>
              <w:pStyle w:val="Pa12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CF03E3" w:rsidRPr="00CF03E3">
              <w:rPr>
                <w:rStyle w:val="A4"/>
              </w:rPr>
              <w:t xml:space="preserve">ACO is a term used to </w:t>
            </w:r>
            <w:r w:rsidR="00A96D89">
              <w:rPr>
                <w:rStyle w:val="A4"/>
              </w:rPr>
              <w:t>characterise</w:t>
            </w:r>
            <w:r w:rsidR="00CF03E3" w:rsidRPr="00CF03E3">
              <w:rPr>
                <w:rStyle w:val="A4"/>
              </w:rPr>
              <w:t xml:space="preserve"> patients exhibiting clinical features of both asthma and COPD. </w:t>
            </w:r>
            <w:r w:rsidR="00526655">
              <w:rPr>
                <w:rStyle w:val="A4"/>
              </w:rPr>
              <w:t>Our p</w:t>
            </w:r>
            <w:r w:rsidR="00CF03E3" w:rsidRPr="00CF03E3">
              <w:rPr>
                <w:rStyle w:val="A4"/>
              </w:rPr>
              <w:t xml:space="preserve">revious research has indicated </w:t>
            </w:r>
            <w:r w:rsidR="00A96D89">
              <w:rPr>
                <w:rStyle w:val="A4"/>
              </w:rPr>
              <w:t xml:space="preserve">that </w:t>
            </w:r>
            <w:r w:rsidR="00CF03E3" w:rsidRPr="00CF03E3">
              <w:rPr>
                <w:rStyle w:val="A4"/>
              </w:rPr>
              <w:t>EMT</w:t>
            </w:r>
            <w:r w:rsidR="00CF03E3">
              <w:rPr>
                <w:rStyle w:val="A4"/>
              </w:rPr>
              <w:t xml:space="preserve"> is active </w:t>
            </w:r>
            <w:r w:rsidR="00CF03E3" w:rsidRPr="00CF03E3">
              <w:rPr>
                <w:rStyle w:val="A4"/>
              </w:rPr>
              <w:t xml:space="preserve">in </w:t>
            </w:r>
            <w:r w:rsidR="00DA5963">
              <w:rPr>
                <w:rStyle w:val="A4"/>
              </w:rPr>
              <w:t xml:space="preserve">the airways of </w:t>
            </w:r>
            <w:r w:rsidR="00CF03E3" w:rsidRPr="00CF03E3">
              <w:rPr>
                <w:rStyle w:val="A4"/>
              </w:rPr>
              <w:t>COPD</w:t>
            </w:r>
            <w:r w:rsidR="00182628">
              <w:rPr>
                <w:rStyle w:val="A4"/>
              </w:rPr>
              <w:t xml:space="preserve"> patients</w:t>
            </w:r>
            <w:r w:rsidR="00A96D89">
              <w:rPr>
                <w:rStyle w:val="A4"/>
              </w:rPr>
              <w:t>. However</w:t>
            </w:r>
            <w:r w:rsidR="00CF03E3">
              <w:rPr>
                <w:rStyle w:val="A4"/>
              </w:rPr>
              <w:t xml:space="preserve">, </w:t>
            </w:r>
            <w:r w:rsidR="00CF03E3" w:rsidRPr="00CF03E3">
              <w:rPr>
                <w:rStyle w:val="A4"/>
              </w:rPr>
              <w:t>the role of EMT in ACO remain</w:t>
            </w:r>
            <w:r w:rsidR="00DA5963">
              <w:rPr>
                <w:rStyle w:val="A4"/>
              </w:rPr>
              <w:t>s</w:t>
            </w:r>
            <w:r w:rsidR="00CF03E3" w:rsidRPr="00CF03E3">
              <w:rPr>
                <w:rStyle w:val="A4"/>
              </w:rPr>
              <w:t xml:space="preserve"> unexplored. </w:t>
            </w:r>
            <w:r w:rsidR="00A96D89">
              <w:rPr>
                <w:rStyle w:val="A4"/>
              </w:rPr>
              <w:t>The aim of this study is to evaluate</w:t>
            </w:r>
            <w:r w:rsidR="00CF03E3" w:rsidRPr="00CF03E3">
              <w:rPr>
                <w:rStyle w:val="A4"/>
              </w:rPr>
              <w:t xml:space="preserve"> EMT </w:t>
            </w:r>
            <w:r w:rsidR="00A96D89">
              <w:rPr>
                <w:rStyle w:val="A4"/>
              </w:rPr>
              <w:t>activit</w:t>
            </w:r>
            <w:r w:rsidR="00DA5963">
              <w:rPr>
                <w:rStyle w:val="A4"/>
              </w:rPr>
              <w:t>y</w:t>
            </w:r>
            <w:r w:rsidR="00CF03E3" w:rsidRPr="00CF03E3">
              <w:rPr>
                <w:rStyle w:val="A4"/>
              </w:rPr>
              <w:t xml:space="preserve"> in </w:t>
            </w:r>
            <w:r w:rsidR="006268ED">
              <w:rPr>
                <w:rStyle w:val="A4"/>
              </w:rPr>
              <w:t xml:space="preserve">airway tissue from patients with </w:t>
            </w:r>
            <w:r w:rsidR="00CF03E3" w:rsidRPr="00CF03E3">
              <w:rPr>
                <w:rStyle w:val="A4"/>
              </w:rPr>
              <w:t>ACO.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1C293BD6" w:rsidR="001564A4" w:rsidRPr="00CF03E3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CF03E3" w:rsidRPr="00CF03E3">
              <w:rPr>
                <w:rStyle w:val="A4"/>
              </w:rPr>
              <w:t xml:space="preserve">In this cross-sectional study, we </w:t>
            </w:r>
            <w:r w:rsidR="006025AA">
              <w:rPr>
                <w:rStyle w:val="A4"/>
              </w:rPr>
              <w:t xml:space="preserve">used </w:t>
            </w:r>
            <w:r w:rsidR="00CF03E3" w:rsidRPr="00CF03E3">
              <w:rPr>
                <w:rStyle w:val="A4"/>
              </w:rPr>
              <w:t>large airway endobronchial biopsy samples from patients with asthma (14), COPD (22), ACO (12)</w:t>
            </w:r>
            <w:r w:rsidR="00976149">
              <w:rPr>
                <w:rFonts w:ascii="Times New Roman" w:hAnsi="Times New Roman" w:cs="Times New Roman"/>
                <w:lang w:val="en-GB" w:eastAsia="en-US"/>
              </w:rPr>
              <w:t xml:space="preserve">, </w:t>
            </w:r>
            <w:r w:rsidR="00DA5963" w:rsidRPr="00DA5963">
              <w:rPr>
                <w:color w:val="000000"/>
                <w:sz w:val="22"/>
                <w:szCs w:val="22"/>
                <w:lang w:val="en-GB"/>
              </w:rPr>
              <w:t>normal lung function smokers (NLFS; 12) and healthy non-smoking subjects (HC; 10)</w:t>
            </w:r>
            <w:r w:rsidR="00DA5963">
              <w:rPr>
                <w:rStyle w:val="A4"/>
              </w:rPr>
              <w:t>.</w:t>
            </w:r>
            <w:r w:rsidR="00CF03E3">
              <w:rPr>
                <w:rStyle w:val="A4"/>
              </w:rPr>
              <w:t xml:space="preserve"> </w:t>
            </w:r>
            <w:r w:rsidR="00DA5963">
              <w:rPr>
                <w:rStyle w:val="A4"/>
              </w:rPr>
              <w:t>I</w:t>
            </w:r>
            <w:r w:rsidR="00CF03E3" w:rsidRPr="00CF03E3">
              <w:rPr>
                <w:rStyle w:val="A4"/>
              </w:rPr>
              <w:t xml:space="preserve">mmunohistochemical </w:t>
            </w:r>
            <w:r w:rsidR="00466852">
              <w:rPr>
                <w:rStyle w:val="A4"/>
              </w:rPr>
              <w:t>staining</w:t>
            </w:r>
            <w:r w:rsidR="00CF03E3" w:rsidRPr="00CF03E3">
              <w:rPr>
                <w:rStyle w:val="A4"/>
              </w:rPr>
              <w:t xml:space="preserve"> </w:t>
            </w:r>
            <w:r w:rsidR="00DA5963">
              <w:rPr>
                <w:rStyle w:val="A4"/>
              </w:rPr>
              <w:t xml:space="preserve">was performed for </w:t>
            </w:r>
            <w:r w:rsidR="00CF03E3" w:rsidRPr="00CF03E3">
              <w:rPr>
                <w:rStyle w:val="A4"/>
              </w:rPr>
              <w:t>EMT markers (E</w:t>
            </w:r>
            <w:r w:rsidR="00CF03E3">
              <w:rPr>
                <w:rStyle w:val="A4"/>
              </w:rPr>
              <w:t>-</w:t>
            </w:r>
            <w:r w:rsidR="00CF03E3" w:rsidRPr="00CF03E3">
              <w:rPr>
                <w:rStyle w:val="A4"/>
              </w:rPr>
              <w:t xml:space="preserve"> and N-cadherin, </w:t>
            </w:r>
            <w:r w:rsidR="00837F10">
              <w:rPr>
                <w:rStyle w:val="A4"/>
              </w:rPr>
              <w:t>V</w:t>
            </w:r>
            <w:r w:rsidR="00CF03E3" w:rsidRPr="00CF03E3">
              <w:rPr>
                <w:rStyle w:val="A4"/>
              </w:rPr>
              <w:t>imentin, S100A4, and Collagen IV</w:t>
            </w:r>
            <w:r w:rsidR="00837F10">
              <w:rPr>
                <w:rStyle w:val="A4"/>
              </w:rPr>
              <w:t>)</w:t>
            </w:r>
            <w:r w:rsidR="00CF03E3" w:rsidRPr="00CF03E3">
              <w:rPr>
                <w:rStyle w:val="A4"/>
              </w:rPr>
              <w:t xml:space="preserve">. </w:t>
            </w:r>
            <w:r w:rsidR="00362E55">
              <w:rPr>
                <w:rStyle w:val="A4"/>
              </w:rPr>
              <w:t xml:space="preserve"> </w:t>
            </w:r>
            <w:r w:rsidR="00B87F08">
              <w:rPr>
                <w:rStyle w:val="A4"/>
              </w:rPr>
              <w:t xml:space="preserve">Staining </w:t>
            </w:r>
            <w:r w:rsidR="00362E55">
              <w:rPr>
                <w:rStyle w:val="A4"/>
              </w:rPr>
              <w:t xml:space="preserve">was </w:t>
            </w:r>
            <w:r w:rsidR="00FC4779">
              <w:rPr>
                <w:rStyle w:val="A4"/>
              </w:rPr>
              <w:t>assessed</w:t>
            </w:r>
            <w:r w:rsidR="00362E55">
              <w:rPr>
                <w:rStyle w:val="A4"/>
              </w:rPr>
              <w:t xml:space="preserve"> </w:t>
            </w:r>
            <w:r w:rsidR="00CF03E3" w:rsidRPr="00CF03E3">
              <w:rPr>
                <w:rStyle w:val="A4"/>
              </w:rPr>
              <w:t>for the percent</w:t>
            </w:r>
            <w:r w:rsidR="00466852">
              <w:rPr>
                <w:rStyle w:val="A4"/>
              </w:rPr>
              <w:t>age</w:t>
            </w:r>
            <w:r w:rsidR="006025AA">
              <w:rPr>
                <w:rStyle w:val="A4"/>
              </w:rPr>
              <w:t xml:space="preserve"> </w:t>
            </w:r>
            <w:r w:rsidR="00CF03E3" w:rsidRPr="00CF03E3">
              <w:rPr>
                <w:rStyle w:val="A4"/>
              </w:rPr>
              <w:t>expression of E</w:t>
            </w:r>
            <w:r w:rsidR="006025AA">
              <w:rPr>
                <w:rStyle w:val="A4"/>
              </w:rPr>
              <w:t>-</w:t>
            </w:r>
            <w:r w:rsidR="00CF03E3" w:rsidRPr="00CF03E3">
              <w:rPr>
                <w:rStyle w:val="A4"/>
              </w:rPr>
              <w:t xml:space="preserve"> and N-Cadherin in the epithelium</w:t>
            </w:r>
            <w:r w:rsidR="00B87F08">
              <w:rPr>
                <w:rStyle w:val="A4"/>
              </w:rPr>
              <w:t>,</w:t>
            </w:r>
            <w:r w:rsidR="00CF03E3" w:rsidRPr="00CF03E3">
              <w:rPr>
                <w:rStyle w:val="A4"/>
              </w:rPr>
              <w:t xml:space="preserve"> </w:t>
            </w:r>
            <w:r w:rsidR="00976149">
              <w:rPr>
                <w:rStyle w:val="A4"/>
              </w:rPr>
              <w:t>V</w:t>
            </w:r>
            <w:r w:rsidR="00CF03E3" w:rsidRPr="00CF03E3">
              <w:rPr>
                <w:rStyle w:val="A4"/>
              </w:rPr>
              <w:t>imentin and S100A4 positive cells in the epithelium and reticular basement membrane (R</w:t>
            </w:r>
            <w:r w:rsidR="006025AA">
              <w:rPr>
                <w:rStyle w:val="A4"/>
              </w:rPr>
              <w:t>bm</w:t>
            </w:r>
            <w:r w:rsidR="00CF03E3" w:rsidRPr="00CF03E3">
              <w:rPr>
                <w:rStyle w:val="A4"/>
              </w:rPr>
              <w:t xml:space="preserve">), and </w:t>
            </w:r>
            <w:r w:rsidR="00466852">
              <w:rPr>
                <w:rStyle w:val="A4"/>
              </w:rPr>
              <w:t>C</w:t>
            </w:r>
            <w:r w:rsidR="00CF03E3" w:rsidRPr="00CF03E3">
              <w:rPr>
                <w:rStyle w:val="A4"/>
              </w:rPr>
              <w:t>ollagen IV positive vessels in the epithelium, R</w:t>
            </w:r>
            <w:r w:rsidR="006025AA">
              <w:rPr>
                <w:rStyle w:val="A4"/>
              </w:rPr>
              <w:t>bm</w:t>
            </w:r>
            <w:r w:rsidR="00CF03E3" w:rsidRPr="00CF03E3">
              <w:rPr>
                <w:rStyle w:val="A4"/>
              </w:rPr>
              <w:t>, and lamina propria (LP). Additionally, we evaluated the degree of R</w:t>
            </w:r>
            <w:r w:rsidR="006025AA">
              <w:rPr>
                <w:rStyle w:val="A4"/>
              </w:rPr>
              <w:t>bm</w:t>
            </w:r>
            <w:r w:rsidR="00CF03E3" w:rsidRPr="00CF03E3">
              <w:rPr>
                <w:rStyle w:val="A4"/>
              </w:rPr>
              <w:t xml:space="preserve"> fragmentation.</w:t>
            </w:r>
          </w:p>
          <w:p w14:paraId="5029BAE6" w14:textId="2692EFA7" w:rsidR="001564A4" w:rsidRPr="005429DE" w:rsidRDefault="001564A4" w:rsidP="005429DE">
            <w:pPr>
              <w:pStyle w:val="Pa12"/>
              <w:rPr>
                <w:rStyle w:val="A4"/>
                <w:color w:val="auto"/>
              </w:rPr>
            </w:pPr>
          </w:p>
          <w:p w14:paraId="0861549B" w14:textId="17A7AD2D" w:rsidR="001564A4" w:rsidRPr="00A96D89" w:rsidRDefault="001564A4" w:rsidP="00A96D89">
            <w:pPr>
              <w:pStyle w:val="Pa12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5429DE" w:rsidRPr="005429DE">
              <w:rPr>
                <w:rStyle w:val="A4"/>
              </w:rPr>
              <w:t>In the epithelium, ACO showed a significantly reduced percentage of E-cadherin expression compared to HC (</w:t>
            </w:r>
            <w:r w:rsidR="005429DE" w:rsidRPr="005429DE">
              <w:rPr>
                <w:rStyle w:val="A4"/>
                <w:i/>
                <w:iCs/>
              </w:rPr>
              <w:t>p</w:t>
            </w:r>
            <w:r w:rsidR="005429DE" w:rsidRPr="005429DE">
              <w:rPr>
                <w:rStyle w:val="A4"/>
              </w:rPr>
              <w:t xml:space="preserve"> &lt;0.01), with </w:t>
            </w:r>
            <w:r w:rsidR="00976149">
              <w:rPr>
                <w:rStyle w:val="A4"/>
              </w:rPr>
              <w:t>no change</w:t>
            </w:r>
            <w:r w:rsidR="005429DE" w:rsidRPr="005429DE">
              <w:rPr>
                <w:rStyle w:val="A4"/>
              </w:rPr>
              <w:t xml:space="preserve"> </w:t>
            </w:r>
            <w:r w:rsidR="00976149">
              <w:rPr>
                <w:rStyle w:val="A4"/>
              </w:rPr>
              <w:t xml:space="preserve">for </w:t>
            </w:r>
            <w:r w:rsidR="005429DE" w:rsidRPr="005429DE">
              <w:rPr>
                <w:rStyle w:val="A4"/>
              </w:rPr>
              <w:t xml:space="preserve">N-cadherin expression. </w:t>
            </w:r>
            <w:r w:rsidR="00976149" w:rsidRPr="00976149">
              <w:rPr>
                <w:color w:val="000000"/>
                <w:sz w:val="22"/>
                <w:szCs w:val="22"/>
                <w:lang w:val="en-GB"/>
              </w:rPr>
              <w:t xml:space="preserve">We observed the most substantial Rbm fragmentation in ACO, which is a key </w:t>
            </w:r>
            <w:r w:rsidR="00976149">
              <w:rPr>
                <w:color w:val="000000"/>
                <w:sz w:val="22"/>
                <w:szCs w:val="22"/>
                <w:lang w:val="en-GB"/>
              </w:rPr>
              <w:t xml:space="preserve">tissue </w:t>
            </w:r>
            <w:r w:rsidR="00976149" w:rsidRPr="00976149">
              <w:rPr>
                <w:color w:val="000000"/>
                <w:sz w:val="22"/>
                <w:szCs w:val="22"/>
                <w:lang w:val="en-GB"/>
              </w:rPr>
              <w:t>structural marker of EMT and was significantly higher compared to HC (</w:t>
            </w:r>
            <w:r w:rsidR="00976149" w:rsidRPr="00976149">
              <w:rPr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  <w:r w:rsidR="00976149" w:rsidRPr="00976149">
              <w:rPr>
                <w:color w:val="000000"/>
                <w:sz w:val="22"/>
                <w:szCs w:val="22"/>
                <w:lang w:val="en-GB"/>
              </w:rPr>
              <w:t xml:space="preserve"> &lt;0.01).</w:t>
            </w:r>
            <w:r w:rsidR="00976149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="005429DE" w:rsidRPr="005429DE">
              <w:rPr>
                <w:rStyle w:val="A4"/>
              </w:rPr>
              <w:t xml:space="preserve">Both </w:t>
            </w:r>
            <w:r w:rsidR="004F47E4">
              <w:rPr>
                <w:rStyle w:val="A4"/>
              </w:rPr>
              <w:t>V</w:t>
            </w:r>
            <w:r w:rsidR="005429DE" w:rsidRPr="005429DE">
              <w:rPr>
                <w:rStyle w:val="A4"/>
              </w:rPr>
              <w:t xml:space="preserve">imentin and S100A4 positive basal cells tended to be higher </w:t>
            </w:r>
            <w:r w:rsidR="00466852">
              <w:rPr>
                <w:rStyle w:val="A4"/>
              </w:rPr>
              <w:t xml:space="preserve">in ACO </w:t>
            </w:r>
            <w:r w:rsidR="005429DE" w:rsidRPr="005429DE">
              <w:rPr>
                <w:rStyle w:val="A4"/>
              </w:rPr>
              <w:t>than in HC. In the R</w:t>
            </w:r>
            <w:r w:rsidR="005429DE">
              <w:rPr>
                <w:rStyle w:val="A4"/>
              </w:rPr>
              <w:t>bm</w:t>
            </w:r>
            <w:r w:rsidR="005429DE" w:rsidRPr="005429DE">
              <w:rPr>
                <w:rStyle w:val="A4"/>
              </w:rPr>
              <w:t>, S100A4 positive cells were markedly elevated in ACO (</w:t>
            </w:r>
            <w:r w:rsidR="005429DE" w:rsidRPr="005429DE">
              <w:rPr>
                <w:rStyle w:val="A4"/>
                <w:i/>
                <w:iCs/>
              </w:rPr>
              <w:t>p</w:t>
            </w:r>
            <w:r w:rsidR="005429DE" w:rsidRPr="005429DE">
              <w:rPr>
                <w:rStyle w:val="A4"/>
              </w:rPr>
              <w:t xml:space="preserve"> &lt;0.05) compared to HC. Although </w:t>
            </w:r>
            <w:r w:rsidR="00D54C0E">
              <w:rPr>
                <w:rStyle w:val="A4"/>
              </w:rPr>
              <w:t>V</w:t>
            </w:r>
            <w:r w:rsidR="005429DE" w:rsidRPr="005429DE">
              <w:rPr>
                <w:rStyle w:val="A4"/>
              </w:rPr>
              <w:t xml:space="preserve">imentin-positive cells were </w:t>
            </w:r>
            <w:r w:rsidR="00A96D89">
              <w:rPr>
                <w:rStyle w:val="A4"/>
              </w:rPr>
              <w:t>increased</w:t>
            </w:r>
            <w:r w:rsidR="005429DE" w:rsidRPr="005429DE">
              <w:rPr>
                <w:rStyle w:val="A4"/>
              </w:rPr>
              <w:t xml:space="preserve"> in the R</w:t>
            </w:r>
            <w:r w:rsidR="005429DE">
              <w:rPr>
                <w:rStyle w:val="A4"/>
              </w:rPr>
              <w:t>bm</w:t>
            </w:r>
            <w:r w:rsidR="005429DE" w:rsidRPr="005429DE">
              <w:rPr>
                <w:rStyle w:val="A4"/>
              </w:rPr>
              <w:t xml:space="preserve"> of ACO compared to HC, the difference was not statistically significant. The number of vessels in the R</w:t>
            </w:r>
            <w:r w:rsidR="00A96D89">
              <w:rPr>
                <w:rStyle w:val="A4"/>
              </w:rPr>
              <w:t>bm</w:t>
            </w:r>
            <w:r w:rsidR="005429DE" w:rsidRPr="005429DE">
              <w:rPr>
                <w:rStyle w:val="A4"/>
              </w:rPr>
              <w:t xml:space="preserve"> was higher in ACO (</w:t>
            </w:r>
            <w:r w:rsidR="00A96D89" w:rsidRPr="00A96D89">
              <w:rPr>
                <w:rStyle w:val="A4"/>
                <w:i/>
                <w:iCs/>
              </w:rPr>
              <w:t>p</w:t>
            </w:r>
            <w:r w:rsidR="005429DE" w:rsidRPr="005429DE">
              <w:rPr>
                <w:rStyle w:val="A4"/>
              </w:rPr>
              <w:t xml:space="preserve"> &lt;0.05) compared to HC but lower in the LP (</w:t>
            </w:r>
            <w:r w:rsidR="00A96D89" w:rsidRPr="00A96D89">
              <w:rPr>
                <w:rStyle w:val="A4"/>
                <w:i/>
                <w:iCs/>
              </w:rPr>
              <w:t>p</w:t>
            </w:r>
            <w:r w:rsidR="005429DE" w:rsidRPr="005429DE">
              <w:rPr>
                <w:rStyle w:val="A4"/>
              </w:rPr>
              <w:t xml:space="preserve"> &lt;0.01). 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9B04572" w14:textId="7F2AC793" w:rsidR="001564A4" w:rsidRPr="00031F73" w:rsidRDefault="001564A4" w:rsidP="00031F73">
            <w:pPr>
              <w:pStyle w:val="Pa12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A96D89" w:rsidRPr="005429DE">
              <w:rPr>
                <w:rStyle w:val="A4"/>
              </w:rPr>
              <w:t>These findings suggest the presence of an active EMT process in ACO</w:t>
            </w:r>
            <w:r w:rsidR="006268ED">
              <w:rPr>
                <w:rStyle w:val="A4"/>
              </w:rPr>
              <w:t>, potentially contributing to severe airway remodelling seen in this cohort</w:t>
            </w:r>
            <w:r w:rsidR="00A96D89" w:rsidRPr="005429DE">
              <w:rPr>
                <w:rStyle w:val="A4"/>
              </w:rPr>
              <w:t>.</w:t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3E8B4283" w14:textId="1D47CABF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>
              <w:rPr>
                <w:rStyle w:val="A4"/>
                <w:bCs/>
              </w:rPr>
              <w:t xml:space="preserve"> </w:t>
            </w: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E65D6E" w:rsidRPr="00E65D6E">
              <w:rPr>
                <w:rStyle w:val="A4"/>
              </w:rPr>
              <w:t>Clifford Craig Foundation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yMTUxNTa2MDEyMjBR0lEKTi0uzszPAykwrgUAElEhXSwAAAA="/>
  </w:docVars>
  <w:rsids>
    <w:rsidRoot w:val="001564A4"/>
    <w:rsid w:val="00031F73"/>
    <w:rsid w:val="000A30D5"/>
    <w:rsid w:val="000A7969"/>
    <w:rsid w:val="000E6FD7"/>
    <w:rsid w:val="001564A4"/>
    <w:rsid w:val="00182628"/>
    <w:rsid w:val="00242A52"/>
    <w:rsid w:val="002B6B3C"/>
    <w:rsid w:val="002E1D49"/>
    <w:rsid w:val="0030174A"/>
    <w:rsid w:val="00362E55"/>
    <w:rsid w:val="00457A02"/>
    <w:rsid w:val="00466852"/>
    <w:rsid w:val="004C28E8"/>
    <w:rsid w:val="004E312F"/>
    <w:rsid w:val="004F47E4"/>
    <w:rsid w:val="0051574E"/>
    <w:rsid w:val="00526655"/>
    <w:rsid w:val="005412B3"/>
    <w:rsid w:val="005429DE"/>
    <w:rsid w:val="006025AA"/>
    <w:rsid w:val="006268ED"/>
    <w:rsid w:val="00681B6A"/>
    <w:rsid w:val="00697BF3"/>
    <w:rsid w:val="007925E7"/>
    <w:rsid w:val="00804FE6"/>
    <w:rsid w:val="008316BD"/>
    <w:rsid w:val="00837F10"/>
    <w:rsid w:val="008803FA"/>
    <w:rsid w:val="00976149"/>
    <w:rsid w:val="00A96D89"/>
    <w:rsid w:val="00B12E32"/>
    <w:rsid w:val="00B87F08"/>
    <w:rsid w:val="00CF03E3"/>
    <w:rsid w:val="00CF5C69"/>
    <w:rsid w:val="00D30471"/>
    <w:rsid w:val="00D54C0E"/>
    <w:rsid w:val="00D55422"/>
    <w:rsid w:val="00DA5963"/>
    <w:rsid w:val="00DF14BE"/>
    <w:rsid w:val="00E0700F"/>
    <w:rsid w:val="00E51A16"/>
    <w:rsid w:val="00E65D6E"/>
    <w:rsid w:val="00F06D15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DA596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A5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9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963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963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429</Words>
  <Characters>2537</Characters>
  <Application>Microsoft Office Word</Application>
  <DocSecurity>0</DocSecurity>
  <Lines>119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Monica Lu</cp:lastModifiedBy>
  <cp:revision>33</cp:revision>
  <dcterms:created xsi:type="dcterms:W3CDTF">2023-08-23T07:33:00Z</dcterms:created>
  <dcterms:modified xsi:type="dcterms:W3CDTF">2023-10-11T03:24:00Z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b2a19e57bce1c816eba54c36546b677da959b84624d3786efd5960414e013b95</vt:lpwstr>
  </property>
</Properties>
</file>