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6DB9DD29" w:rsidR="001564A4" w:rsidRPr="0050053A" w:rsidRDefault="00BF3C43" w:rsidP="000A28E2">
            <w:pPr>
              <w:spacing w:before="120" w:after="120"/>
              <w:rPr>
                <w:rFonts w:ascii="Arial" w:hAnsi="Arial" w:cs="Arial"/>
                <w:b/>
                <w:sz w:val="22"/>
                <w:szCs w:val="22"/>
                <w:lang w:val="en-US" w:eastAsia="zh-CN"/>
              </w:rPr>
            </w:pPr>
            <w:r w:rsidRPr="00BF3C43">
              <w:rPr>
                <w:rFonts w:ascii="Arial" w:hAnsi="Arial" w:cs="Arial"/>
                <w:b/>
                <w:sz w:val="22"/>
                <w:szCs w:val="22"/>
                <w:lang w:val="en-US" w:eastAsia="en-GB"/>
              </w:rPr>
              <w:t xml:space="preserve">Resolution of </w:t>
            </w:r>
            <w:r w:rsidRPr="00013BE7">
              <w:rPr>
                <w:rFonts w:ascii="Arial" w:hAnsi="Arial" w:cs="Arial"/>
                <w:b/>
                <w:i/>
                <w:iCs/>
                <w:sz w:val="22"/>
                <w:szCs w:val="22"/>
                <w:lang w:val="en-US" w:eastAsia="en-GB"/>
              </w:rPr>
              <w:t>Mycobacterium abscessus</w:t>
            </w:r>
            <w:r w:rsidRPr="00BF3C43">
              <w:rPr>
                <w:rFonts w:ascii="Arial" w:hAnsi="Arial" w:cs="Arial"/>
                <w:b/>
                <w:sz w:val="22"/>
                <w:szCs w:val="22"/>
                <w:lang w:val="en-US" w:eastAsia="en-GB"/>
              </w:rPr>
              <w:t xml:space="preserve"> disease following initiation of </w:t>
            </w:r>
            <w:proofErr w:type="spellStart"/>
            <w:r w:rsidRPr="00BF3C43">
              <w:rPr>
                <w:rFonts w:ascii="Arial" w:hAnsi="Arial" w:cs="Arial"/>
                <w:b/>
                <w:sz w:val="22"/>
                <w:szCs w:val="22"/>
                <w:lang w:val="en-US" w:eastAsia="en-GB"/>
              </w:rPr>
              <w:t>elexacaftor</w:t>
            </w:r>
            <w:proofErr w:type="spellEnd"/>
            <w:r w:rsidRPr="00BF3C43">
              <w:rPr>
                <w:rFonts w:ascii="Arial" w:hAnsi="Arial" w:cs="Arial"/>
                <w:b/>
                <w:sz w:val="22"/>
                <w:szCs w:val="22"/>
                <w:lang w:val="en-US" w:eastAsia="en-GB"/>
              </w:rPr>
              <w:t>/</w:t>
            </w:r>
            <w:proofErr w:type="spellStart"/>
            <w:r w:rsidRPr="00BF3C43">
              <w:rPr>
                <w:rFonts w:ascii="Arial" w:hAnsi="Arial" w:cs="Arial"/>
                <w:b/>
                <w:sz w:val="22"/>
                <w:szCs w:val="22"/>
                <w:lang w:val="en-US" w:eastAsia="en-GB"/>
              </w:rPr>
              <w:t>tezacaftor</w:t>
            </w:r>
            <w:proofErr w:type="spellEnd"/>
            <w:r w:rsidRPr="00BF3C43">
              <w:rPr>
                <w:rFonts w:ascii="Arial" w:hAnsi="Arial" w:cs="Arial"/>
                <w:b/>
                <w:sz w:val="22"/>
                <w:szCs w:val="22"/>
                <w:lang w:val="en-US" w:eastAsia="en-GB"/>
              </w:rPr>
              <w:t>/ivacaftor</w:t>
            </w:r>
          </w:p>
        </w:tc>
      </w:tr>
      <w:tr w:rsidR="001564A4" w:rsidRPr="0050053A" w14:paraId="0E2E035C" w14:textId="77777777" w:rsidTr="000A28E2">
        <w:trPr>
          <w:jc w:val="center"/>
        </w:trPr>
        <w:tc>
          <w:tcPr>
            <w:tcW w:w="8640" w:type="dxa"/>
            <w:shd w:val="clear" w:color="auto" w:fill="auto"/>
          </w:tcPr>
          <w:p w14:paraId="73B55295" w14:textId="7706233B" w:rsidR="001564A4" w:rsidRPr="00413B94" w:rsidRDefault="00BF3C43" w:rsidP="000A28E2">
            <w:pPr>
              <w:spacing w:before="120" w:after="120"/>
              <w:rPr>
                <w:rFonts w:ascii="Arial" w:hAnsi="Arial" w:cs="Arial"/>
                <w:sz w:val="22"/>
                <w:szCs w:val="22"/>
                <w:u w:val="single"/>
                <w:lang w:eastAsia="zh-CN"/>
              </w:rPr>
            </w:pPr>
            <w:r>
              <w:rPr>
                <w:rFonts w:ascii="Arial" w:hAnsi="Arial" w:cs="Arial"/>
                <w:sz w:val="22"/>
                <w:szCs w:val="22"/>
                <w:lang w:val="en-US" w:eastAsia="en-GB"/>
              </w:rPr>
              <w:t>Roderick Gavey</w:t>
            </w:r>
            <w:r w:rsidR="001564A4" w:rsidRPr="00413B94">
              <w:rPr>
                <w:rFonts w:ascii="Arial" w:hAnsi="Arial" w:cs="Arial"/>
                <w:sz w:val="22"/>
                <w:szCs w:val="22"/>
                <w:vertAlign w:val="superscript"/>
                <w:lang w:val="en-US" w:eastAsia="en-GB"/>
              </w:rPr>
              <w:t>1</w:t>
            </w:r>
            <w:bookmarkStart w:id="0" w:name="Text8"/>
            <w:r w:rsidR="001564A4" w:rsidRPr="00413B94">
              <w:rPr>
                <w:rFonts w:ascii="Arial" w:hAnsi="Arial" w:cs="Arial"/>
                <w:sz w:val="22"/>
                <w:szCs w:val="22"/>
                <w:lang w:val="en-US" w:eastAsia="en-GB"/>
              </w:rPr>
              <w:t>,</w:t>
            </w:r>
            <w:bookmarkEnd w:id="0"/>
            <w:r w:rsidR="00A43A71">
              <w:rPr>
                <w:rFonts w:ascii="Arial" w:hAnsi="Arial" w:cs="Arial"/>
                <w:sz w:val="22"/>
                <w:szCs w:val="22"/>
                <w:lang w:val="en-US" w:eastAsia="en-GB"/>
              </w:rPr>
              <w:t xml:space="preserve"> </w:t>
            </w:r>
            <w:r w:rsidR="00F46E67">
              <w:rPr>
                <w:rFonts w:ascii="Arial" w:hAnsi="Arial" w:cs="Arial"/>
                <w:sz w:val="22"/>
                <w:szCs w:val="22"/>
                <w:lang w:val="en-US" w:eastAsia="en-GB"/>
              </w:rPr>
              <w:t>Vanessa Moore</w:t>
            </w:r>
            <w:r w:rsidR="00F46E67">
              <w:rPr>
                <w:rFonts w:ascii="Arial" w:hAnsi="Arial" w:cs="Arial"/>
                <w:sz w:val="22"/>
                <w:szCs w:val="22"/>
                <w:vertAlign w:val="superscript"/>
                <w:lang w:val="en-US" w:eastAsia="en-GB"/>
              </w:rPr>
              <w:t>2</w:t>
            </w:r>
            <w:r w:rsidR="00F46E67">
              <w:rPr>
                <w:rFonts w:ascii="Arial" w:hAnsi="Arial" w:cs="Arial"/>
                <w:sz w:val="22"/>
                <w:szCs w:val="22"/>
                <w:lang w:val="en-US" w:eastAsia="en-GB"/>
              </w:rPr>
              <w:t>, James Nolan</w:t>
            </w:r>
            <w:r w:rsidR="00F46E67">
              <w:rPr>
                <w:rFonts w:ascii="Arial" w:hAnsi="Arial" w:cs="Arial"/>
                <w:sz w:val="22"/>
                <w:szCs w:val="22"/>
                <w:vertAlign w:val="superscript"/>
                <w:lang w:val="en-US" w:eastAsia="en-GB"/>
              </w:rPr>
              <w:t>2</w:t>
            </w:r>
            <w:r w:rsidR="00F46E67">
              <w:rPr>
                <w:rFonts w:ascii="Arial" w:hAnsi="Arial" w:cs="Arial"/>
                <w:sz w:val="22"/>
                <w:szCs w:val="22"/>
                <w:lang w:val="en-US" w:eastAsia="en-GB"/>
              </w:rPr>
              <w:t xml:space="preserve">, </w:t>
            </w:r>
            <w:r>
              <w:rPr>
                <w:rFonts w:ascii="Arial" w:hAnsi="Arial" w:cs="Arial"/>
                <w:sz w:val="22"/>
                <w:szCs w:val="22"/>
                <w:lang w:val="en-US" w:eastAsia="en-GB"/>
              </w:rPr>
              <w:t>David Reid</w:t>
            </w:r>
            <w:r>
              <w:rPr>
                <w:rFonts w:ascii="Arial" w:hAnsi="Arial" w:cs="Arial"/>
                <w:sz w:val="22"/>
                <w:szCs w:val="22"/>
                <w:vertAlign w:val="superscript"/>
                <w:lang w:val="en-US" w:eastAsia="en-GB"/>
              </w:rPr>
              <w:t>2</w:t>
            </w:r>
            <w:r w:rsidR="00A8221A">
              <w:rPr>
                <w:rFonts w:ascii="Arial" w:hAnsi="Arial" w:cs="Arial"/>
                <w:sz w:val="22"/>
                <w:szCs w:val="22"/>
                <w:vertAlign w:val="superscript"/>
                <w:lang w:val="en-US" w:eastAsia="en-GB"/>
              </w:rPr>
              <w:t xml:space="preserve">, </w:t>
            </w:r>
            <w:r w:rsidR="00A8221A">
              <w:rPr>
                <w:rFonts w:ascii="Arial" w:hAnsi="Arial" w:cs="Arial"/>
                <w:sz w:val="22"/>
                <w:szCs w:val="22"/>
                <w:lang w:val="en-US" w:eastAsia="en-GB"/>
              </w:rPr>
              <w:t>James Brown</w:t>
            </w:r>
            <w:r w:rsidR="00A8221A">
              <w:rPr>
                <w:rFonts w:ascii="Arial" w:hAnsi="Arial" w:cs="Arial"/>
                <w:sz w:val="22"/>
                <w:szCs w:val="22"/>
                <w:vertAlign w:val="superscript"/>
                <w:lang w:val="en-US" w:eastAsia="en-GB"/>
              </w:rPr>
              <w:t>1</w:t>
            </w:r>
          </w:p>
        </w:tc>
      </w:tr>
      <w:tr w:rsidR="001564A4" w:rsidRPr="0050053A" w14:paraId="385A19D9" w14:textId="77777777" w:rsidTr="000A28E2">
        <w:trPr>
          <w:trHeight w:val="136"/>
          <w:jc w:val="center"/>
        </w:trPr>
        <w:tc>
          <w:tcPr>
            <w:tcW w:w="8640" w:type="dxa"/>
            <w:shd w:val="clear" w:color="auto" w:fill="auto"/>
          </w:tcPr>
          <w:p w14:paraId="1643A330" w14:textId="19ABFCCA"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BF3C43">
              <w:rPr>
                <w:rFonts w:ascii="Arial" w:hAnsi="Arial" w:cs="Arial"/>
                <w:i/>
                <w:sz w:val="22"/>
                <w:szCs w:val="22"/>
                <w:lang w:val="en-US" w:eastAsia="en-GB"/>
              </w:rPr>
              <w:t xml:space="preserve">Department of Thoracic and Sleep Medicine, Cairns and Hinterland Hospital and Health Service, Queensland, Australia </w:t>
            </w:r>
          </w:p>
          <w:p w14:paraId="45ED36BF" w14:textId="353F0A82"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2</w:t>
            </w:r>
            <w:r w:rsidR="00BF3C43">
              <w:t xml:space="preserve"> </w:t>
            </w:r>
            <w:r w:rsidR="00A43A71">
              <w:rPr>
                <w:rFonts w:ascii="Arial" w:hAnsi="Arial" w:cs="Arial"/>
                <w:i/>
                <w:sz w:val="22"/>
                <w:szCs w:val="22"/>
                <w:lang w:val="en-US" w:eastAsia="en-GB"/>
              </w:rPr>
              <w:t xml:space="preserve">Adult Cystic Fibrosis </w:t>
            </w:r>
            <w:r w:rsidR="001C112E">
              <w:rPr>
                <w:rFonts w:ascii="Arial" w:hAnsi="Arial" w:cs="Arial"/>
                <w:i/>
                <w:sz w:val="22"/>
                <w:szCs w:val="22"/>
                <w:lang w:val="en-US" w:eastAsia="en-GB"/>
              </w:rPr>
              <w:t>Centre</w:t>
            </w:r>
            <w:r w:rsidR="00A43A71">
              <w:rPr>
                <w:rFonts w:ascii="Arial" w:hAnsi="Arial" w:cs="Arial"/>
                <w:i/>
                <w:sz w:val="22"/>
                <w:szCs w:val="22"/>
                <w:lang w:val="en-US" w:eastAsia="en-GB"/>
              </w:rPr>
              <w:t>, D</w:t>
            </w:r>
            <w:r w:rsidR="00BF3C43" w:rsidRPr="00BF3C43">
              <w:rPr>
                <w:rFonts w:ascii="Arial" w:hAnsi="Arial" w:cs="Arial"/>
                <w:i/>
                <w:sz w:val="22"/>
                <w:szCs w:val="22"/>
                <w:lang w:val="en-US" w:eastAsia="en-GB"/>
              </w:rPr>
              <w:t xml:space="preserve">epartment of Thoracic Medicine, The Prince Charles Hospital, </w:t>
            </w:r>
            <w:r w:rsidR="00BF3C43">
              <w:rPr>
                <w:rFonts w:ascii="Arial" w:hAnsi="Arial" w:cs="Arial"/>
                <w:i/>
                <w:sz w:val="22"/>
                <w:szCs w:val="22"/>
                <w:lang w:val="en-US" w:eastAsia="en-GB"/>
              </w:rPr>
              <w:t>Queensland</w:t>
            </w:r>
            <w:r w:rsidR="00BF3C43" w:rsidRPr="00BF3C43">
              <w:rPr>
                <w:rFonts w:ascii="Arial" w:hAnsi="Arial" w:cs="Arial"/>
                <w:i/>
                <w:sz w:val="22"/>
                <w:szCs w:val="22"/>
                <w:lang w:val="en-US" w:eastAsia="en-GB"/>
              </w:rPr>
              <w:t>, Australia</w:t>
            </w:r>
          </w:p>
        </w:tc>
      </w:tr>
      <w:tr w:rsidR="001564A4" w:rsidRPr="0050053A" w14:paraId="6DAF615A" w14:textId="77777777" w:rsidTr="00D85808">
        <w:trPr>
          <w:trHeight w:hRule="exact" w:val="8992"/>
          <w:jc w:val="center"/>
        </w:trPr>
        <w:tc>
          <w:tcPr>
            <w:tcW w:w="8640" w:type="dxa"/>
            <w:shd w:val="clear" w:color="auto" w:fill="auto"/>
          </w:tcPr>
          <w:p w14:paraId="739E7937" w14:textId="451C0CF3" w:rsidR="001564A4" w:rsidRPr="0050053A" w:rsidRDefault="001564A4" w:rsidP="00812F70">
            <w:pPr>
              <w:pStyle w:val="Pa12"/>
              <w:jc w:val="both"/>
              <w:rPr>
                <w:rStyle w:val="A4"/>
              </w:rPr>
            </w:pPr>
            <w:r>
              <w:rPr>
                <w:rStyle w:val="A4"/>
                <w:b/>
                <w:bCs/>
              </w:rPr>
              <w:t>Introduction</w:t>
            </w:r>
            <w:r w:rsidRPr="0050053A">
              <w:rPr>
                <w:rStyle w:val="A4"/>
                <w:b/>
                <w:bCs/>
              </w:rPr>
              <w:t xml:space="preserve">: </w:t>
            </w:r>
          </w:p>
          <w:p w14:paraId="60654A24" w14:textId="4A02BF03" w:rsidR="006E363D" w:rsidRPr="006E363D" w:rsidRDefault="006E363D" w:rsidP="00812F70">
            <w:pPr>
              <w:jc w:val="both"/>
              <w:rPr>
                <w:rFonts w:ascii="Arial" w:hAnsi="Arial" w:cs="Arial"/>
                <w:sz w:val="22"/>
                <w:szCs w:val="22"/>
                <w:lang w:val="en-US" w:eastAsia="en-GB"/>
              </w:rPr>
            </w:pPr>
            <w:proofErr w:type="spellStart"/>
            <w:r w:rsidRPr="006E363D">
              <w:rPr>
                <w:rFonts w:ascii="Arial" w:hAnsi="Arial" w:cs="Arial"/>
                <w:sz w:val="22"/>
                <w:szCs w:val="22"/>
                <w:lang w:val="en-US" w:eastAsia="en-GB"/>
              </w:rPr>
              <w:t>Elexacaftor</w:t>
            </w:r>
            <w:proofErr w:type="spellEnd"/>
            <w:r w:rsidRPr="006E363D">
              <w:rPr>
                <w:rFonts w:ascii="Arial" w:hAnsi="Arial" w:cs="Arial"/>
                <w:sz w:val="22"/>
                <w:szCs w:val="22"/>
                <w:lang w:val="en-US" w:eastAsia="en-GB"/>
              </w:rPr>
              <w:t>/</w:t>
            </w:r>
            <w:proofErr w:type="spellStart"/>
            <w:r w:rsidRPr="006E363D">
              <w:rPr>
                <w:rFonts w:ascii="Arial" w:hAnsi="Arial" w:cs="Arial"/>
                <w:sz w:val="22"/>
                <w:szCs w:val="22"/>
                <w:lang w:val="en-US" w:eastAsia="en-GB"/>
              </w:rPr>
              <w:t>tezacaftor</w:t>
            </w:r>
            <w:proofErr w:type="spellEnd"/>
            <w:r w:rsidRPr="006E363D">
              <w:rPr>
                <w:rFonts w:ascii="Arial" w:hAnsi="Arial" w:cs="Arial"/>
                <w:sz w:val="22"/>
                <w:szCs w:val="22"/>
                <w:lang w:val="en-US" w:eastAsia="en-GB"/>
              </w:rPr>
              <w:t xml:space="preserve">/ivacaftor </w:t>
            </w:r>
            <w:r>
              <w:rPr>
                <w:rFonts w:ascii="Arial" w:hAnsi="Arial" w:cs="Arial"/>
                <w:sz w:val="22"/>
                <w:szCs w:val="22"/>
                <w:lang w:val="en-US" w:eastAsia="en-GB"/>
              </w:rPr>
              <w:t xml:space="preserve">(ETI) </w:t>
            </w:r>
            <w:r w:rsidRPr="006E363D">
              <w:rPr>
                <w:rFonts w:ascii="Arial" w:hAnsi="Arial" w:cs="Arial"/>
                <w:sz w:val="22"/>
                <w:szCs w:val="22"/>
                <w:lang w:val="en-US" w:eastAsia="en-GB"/>
              </w:rPr>
              <w:t xml:space="preserve">is a CFTR modulator therapy that has dramatically improved the health outcomes for many patients with cystic fibrosis. There is increasing interest in the role of CFTR modulators in the prevention and treatment of respiratory infections in people with cystic fibrosis. </w:t>
            </w:r>
          </w:p>
          <w:p w14:paraId="3D770CF7" w14:textId="77777777" w:rsidR="001564A4" w:rsidRPr="0050053A" w:rsidRDefault="001564A4" w:rsidP="00812F70">
            <w:pPr>
              <w:pStyle w:val="Pa12"/>
              <w:jc w:val="both"/>
              <w:rPr>
                <w:rStyle w:val="A4"/>
                <w:bCs/>
              </w:rPr>
            </w:pPr>
          </w:p>
          <w:p w14:paraId="1B39336E" w14:textId="2DADB89E" w:rsidR="001564A4" w:rsidRPr="0050053A" w:rsidRDefault="006E363D" w:rsidP="00812F70">
            <w:pPr>
              <w:pStyle w:val="Pa12"/>
              <w:jc w:val="both"/>
              <w:rPr>
                <w:rStyle w:val="A4"/>
                <w:b/>
                <w:bCs/>
              </w:rPr>
            </w:pPr>
            <w:r>
              <w:rPr>
                <w:rStyle w:val="A4"/>
                <w:b/>
                <w:bCs/>
              </w:rPr>
              <w:t>Case Summary</w:t>
            </w:r>
            <w:r w:rsidR="001564A4" w:rsidRPr="0050053A">
              <w:rPr>
                <w:rStyle w:val="A4"/>
                <w:b/>
                <w:bCs/>
              </w:rPr>
              <w:t xml:space="preserve">: </w:t>
            </w:r>
          </w:p>
          <w:p w14:paraId="73130266" w14:textId="4F14AD22" w:rsidR="00812F70" w:rsidRDefault="006E363D" w:rsidP="00812F70">
            <w:pPr>
              <w:pStyle w:val="Pa12"/>
              <w:jc w:val="both"/>
              <w:rPr>
                <w:sz w:val="22"/>
                <w:szCs w:val="22"/>
                <w:lang w:val="en-US" w:eastAsia="en-GB"/>
              </w:rPr>
            </w:pPr>
            <w:r w:rsidRPr="006E363D">
              <w:rPr>
                <w:sz w:val="22"/>
                <w:szCs w:val="22"/>
                <w:lang w:val="en-US" w:eastAsia="en-GB"/>
              </w:rPr>
              <w:t xml:space="preserve">A 19-year-old male with F508del homozygous cystic fibrosis developed cavitary </w:t>
            </w:r>
            <w:r w:rsidRPr="006E363D">
              <w:rPr>
                <w:i/>
                <w:iCs/>
                <w:sz w:val="22"/>
                <w:szCs w:val="22"/>
                <w:lang w:val="en-US" w:eastAsia="en-GB"/>
              </w:rPr>
              <w:t xml:space="preserve">Mycobacterium abscessus subspecies </w:t>
            </w:r>
            <w:proofErr w:type="spellStart"/>
            <w:r w:rsidRPr="006E363D">
              <w:rPr>
                <w:i/>
                <w:iCs/>
                <w:sz w:val="22"/>
                <w:szCs w:val="22"/>
                <w:lang w:val="en-US" w:eastAsia="en-GB"/>
              </w:rPr>
              <w:t>bolletii</w:t>
            </w:r>
            <w:proofErr w:type="spellEnd"/>
            <w:r w:rsidRPr="006E363D">
              <w:rPr>
                <w:i/>
                <w:iCs/>
                <w:sz w:val="22"/>
                <w:szCs w:val="22"/>
                <w:lang w:val="en-US" w:eastAsia="en-GB"/>
              </w:rPr>
              <w:t xml:space="preserve"> &amp; </w:t>
            </w:r>
            <w:proofErr w:type="spellStart"/>
            <w:r w:rsidRPr="006E363D">
              <w:rPr>
                <w:i/>
                <w:iCs/>
                <w:sz w:val="22"/>
                <w:szCs w:val="22"/>
                <w:lang w:val="en-US" w:eastAsia="en-GB"/>
              </w:rPr>
              <w:t>massiliense</w:t>
            </w:r>
            <w:proofErr w:type="spellEnd"/>
            <w:r w:rsidRPr="006E363D">
              <w:rPr>
                <w:sz w:val="22"/>
                <w:szCs w:val="22"/>
                <w:lang w:val="en-US" w:eastAsia="en-GB"/>
              </w:rPr>
              <w:t xml:space="preserve"> respiratory infection. Antimycobacterial antibiotic treatment was not given as it was deemed unlikely to be tolerated by the patient on account of his </w:t>
            </w:r>
            <w:r w:rsidR="00D43D5A">
              <w:rPr>
                <w:sz w:val="22"/>
                <w:szCs w:val="22"/>
                <w:lang w:val="en-US" w:eastAsia="en-GB"/>
              </w:rPr>
              <w:t>profound</w:t>
            </w:r>
            <w:r w:rsidRPr="006E363D">
              <w:rPr>
                <w:sz w:val="22"/>
                <w:szCs w:val="22"/>
                <w:lang w:val="en-US" w:eastAsia="en-GB"/>
              </w:rPr>
              <w:t xml:space="preserve"> autism spectrum disorder.</w:t>
            </w:r>
            <w:r w:rsidR="00881651">
              <w:rPr>
                <w:sz w:val="22"/>
                <w:szCs w:val="22"/>
                <w:lang w:val="en-US" w:eastAsia="en-GB"/>
              </w:rPr>
              <w:t xml:space="preserve"> </w:t>
            </w:r>
            <w:r w:rsidR="00F41CB3">
              <w:rPr>
                <w:sz w:val="22"/>
                <w:szCs w:val="22"/>
                <w:lang w:val="en-US" w:eastAsia="en-GB"/>
              </w:rPr>
              <w:t>His developmental disability</w:t>
            </w:r>
            <w:r w:rsidR="005C435D">
              <w:rPr>
                <w:sz w:val="22"/>
                <w:szCs w:val="22"/>
                <w:lang w:val="en-US" w:eastAsia="en-GB"/>
              </w:rPr>
              <w:t xml:space="preserve"> meant that it was not considered feasible to pursue a conventional treatment regimen for </w:t>
            </w:r>
            <w:r w:rsidR="005C435D">
              <w:rPr>
                <w:i/>
                <w:iCs/>
                <w:sz w:val="22"/>
                <w:szCs w:val="22"/>
                <w:lang w:val="en-US" w:eastAsia="en-GB"/>
              </w:rPr>
              <w:t>Mycobacterium abscessus</w:t>
            </w:r>
            <w:r w:rsidR="005C435D">
              <w:rPr>
                <w:sz w:val="22"/>
                <w:szCs w:val="22"/>
                <w:lang w:val="en-US" w:eastAsia="en-GB"/>
              </w:rPr>
              <w:t xml:space="preserve"> </w:t>
            </w:r>
            <w:r w:rsidR="00814867">
              <w:rPr>
                <w:sz w:val="22"/>
                <w:szCs w:val="22"/>
                <w:lang w:val="en-US" w:eastAsia="en-GB"/>
              </w:rPr>
              <w:t xml:space="preserve">which </w:t>
            </w:r>
            <w:r w:rsidR="00126393">
              <w:rPr>
                <w:sz w:val="22"/>
                <w:szCs w:val="22"/>
                <w:lang w:val="en-US" w:eastAsia="en-GB"/>
              </w:rPr>
              <w:t xml:space="preserve">would </w:t>
            </w:r>
            <w:r w:rsidR="001B3D63">
              <w:rPr>
                <w:sz w:val="22"/>
                <w:szCs w:val="22"/>
                <w:lang w:val="en-US" w:eastAsia="en-GB"/>
              </w:rPr>
              <w:t>typically</w:t>
            </w:r>
            <w:r w:rsidR="00814867">
              <w:rPr>
                <w:sz w:val="22"/>
                <w:szCs w:val="22"/>
                <w:lang w:val="en-US" w:eastAsia="en-GB"/>
              </w:rPr>
              <w:t xml:space="preserve"> involve a high burden </w:t>
            </w:r>
            <w:r w:rsidR="00095798">
              <w:rPr>
                <w:sz w:val="22"/>
                <w:szCs w:val="22"/>
                <w:lang w:val="en-US" w:eastAsia="en-GB"/>
              </w:rPr>
              <w:t xml:space="preserve">of healthcare contact, </w:t>
            </w:r>
            <w:r w:rsidR="006179A8">
              <w:rPr>
                <w:sz w:val="22"/>
                <w:szCs w:val="22"/>
                <w:lang w:val="en-US" w:eastAsia="en-GB"/>
              </w:rPr>
              <w:t>frequent and potentially severe</w:t>
            </w:r>
            <w:r w:rsidR="002B059A">
              <w:rPr>
                <w:sz w:val="22"/>
                <w:szCs w:val="22"/>
                <w:lang w:val="en-US" w:eastAsia="en-GB"/>
              </w:rPr>
              <w:t xml:space="preserve"> treatment-related adverse effects and toxicity</w:t>
            </w:r>
            <w:r w:rsidR="00684A83">
              <w:rPr>
                <w:sz w:val="22"/>
                <w:szCs w:val="22"/>
                <w:lang w:val="en-US" w:eastAsia="en-GB"/>
              </w:rPr>
              <w:t>, and modest expectations for successful eradication</w:t>
            </w:r>
            <w:r w:rsidR="000758A7">
              <w:rPr>
                <w:sz w:val="22"/>
                <w:szCs w:val="22"/>
                <w:lang w:val="en-US" w:eastAsia="en-GB"/>
              </w:rPr>
              <w:t>.</w:t>
            </w:r>
            <w:r w:rsidR="006A704E">
              <w:rPr>
                <w:sz w:val="22"/>
                <w:szCs w:val="22"/>
                <w:lang w:val="en-US" w:eastAsia="en-GB"/>
              </w:rPr>
              <w:t xml:space="preserve"> </w:t>
            </w:r>
            <w:proofErr w:type="spellStart"/>
            <w:r w:rsidRPr="006E363D">
              <w:rPr>
                <w:sz w:val="22"/>
                <w:szCs w:val="22"/>
                <w:lang w:val="en-US" w:eastAsia="en-GB"/>
              </w:rPr>
              <w:t>Elexacaftor</w:t>
            </w:r>
            <w:proofErr w:type="spellEnd"/>
            <w:r w:rsidRPr="006E363D">
              <w:rPr>
                <w:sz w:val="22"/>
                <w:szCs w:val="22"/>
                <w:lang w:val="en-US" w:eastAsia="en-GB"/>
              </w:rPr>
              <w:t>/</w:t>
            </w:r>
            <w:proofErr w:type="spellStart"/>
            <w:r w:rsidRPr="006E363D">
              <w:rPr>
                <w:sz w:val="22"/>
                <w:szCs w:val="22"/>
                <w:lang w:val="en-US" w:eastAsia="en-GB"/>
              </w:rPr>
              <w:t>tezacaftor</w:t>
            </w:r>
            <w:proofErr w:type="spellEnd"/>
            <w:r w:rsidRPr="006E363D">
              <w:rPr>
                <w:sz w:val="22"/>
                <w:szCs w:val="22"/>
                <w:lang w:val="en-US" w:eastAsia="en-GB"/>
              </w:rPr>
              <w:t>/ivacaftor was initiated which resulted in an immediate clinical and radiological improvement in this patient’s cavitary NTM disease.</w:t>
            </w:r>
            <w:r w:rsidR="008565E0">
              <w:rPr>
                <w:sz w:val="22"/>
                <w:szCs w:val="22"/>
                <w:lang w:val="en-US" w:eastAsia="en-GB"/>
              </w:rPr>
              <w:t xml:space="preserve"> Conventional antibiotic treatment for </w:t>
            </w:r>
            <w:r w:rsidR="00300AAA">
              <w:rPr>
                <w:i/>
                <w:iCs/>
                <w:sz w:val="22"/>
                <w:szCs w:val="22"/>
                <w:lang w:val="en-US" w:eastAsia="en-GB"/>
              </w:rPr>
              <w:t>Mycobacterium abscessus</w:t>
            </w:r>
            <w:r w:rsidR="00300AAA">
              <w:rPr>
                <w:sz w:val="22"/>
                <w:szCs w:val="22"/>
                <w:lang w:val="en-US" w:eastAsia="en-GB"/>
              </w:rPr>
              <w:t xml:space="preserve"> </w:t>
            </w:r>
            <w:r w:rsidR="00CC1570">
              <w:rPr>
                <w:sz w:val="22"/>
                <w:szCs w:val="22"/>
                <w:lang w:val="en-US" w:eastAsia="en-GB"/>
              </w:rPr>
              <w:t>was successfully avoided.</w:t>
            </w:r>
          </w:p>
          <w:p w14:paraId="7C76B250" w14:textId="3B4FE8F5" w:rsidR="001564A4" w:rsidRPr="0050053A" w:rsidRDefault="00CC1570" w:rsidP="00812F70">
            <w:pPr>
              <w:pStyle w:val="Pa12"/>
              <w:jc w:val="both"/>
              <w:rPr>
                <w:sz w:val="22"/>
                <w:szCs w:val="22"/>
              </w:rPr>
            </w:pPr>
            <w:r>
              <w:rPr>
                <w:sz w:val="22"/>
                <w:szCs w:val="22"/>
                <w:lang w:val="en-US" w:eastAsia="en-GB"/>
              </w:rPr>
              <w:t xml:space="preserve"> </w:t>
            </w:r>
          </w:p>
          <w:p w14:paraId="652F7BE1" w14:textId="2B581270" w:rsidR="001564A4" w:rsidRPr="0050053A" w:rsidRDefault="006E363D" w:rsidP="00812F70">
            <w:pPr>
              <w:pStyle w:val="Pa12"/>
              <w:jc w:val="both"/>
              <w:rPr>
                <w:rStyle w:val="A4"/>
                <w:b/>
                <w:bCs/>
              </w:rPr>
            </w:pPr>
            <w:r>
              <w:rPr>
                <w:rStyle w:val="A4"/>
                <w:b/>
                <w:bCs/>
              </w:rPr>
              <w:t>C</w:t>
            </w:r>
            <w:r w:rsidR="001564A4" w:rsidRPr="0050053A">
              <w:rPr>
                <w:rStyle w:val="A4"/>
                <w:b/>
                <w:bCs/>
              </w:rPr>
              <w:t xml:space="preserve">onclusion: </w:t>
            </w:r>
          </w:p>
          <w:p w14:paraId="6F65ED5D" w14:textId="77777777" w:rsidR="000C60AE" w:rsidRDefault="006E363D" w:rsidP="00812F70">
            <w:pPr>
              <w:pStyle w:val="Pa12"/>
              <w:jc w:val="both"/>
              <w:rPr>
                <w:sz w:val="22"/>
                <w:szCs w:val="22"/>
                <w:lang w:val="en-US" w:eastAsia="en-GB"/>
              </w:rPr>
            </w:pPr>
            <w:r w:rsidRPr="006E363D">
              <w:rPr>
                <w:sz w:val="22"/>
                <w:szCs w:val="22"/>
                <w:lang w:val="en-US" w:eastAsia="en-GB"/>
              </w:rPr>
              <w:t xml:space="preserve">This case adds to the evidence base that suggests CFTR modulators, particularly </w:t>
            </w:r>
            <w:proofErr w:type="spellStart"/>
            <w:r w:rsidR="000F0ACB">
              <w:rPr>
                <w:sz w:val="22"/>
                <w:szCs w:val="22"/>
                <w:lang w:val="en-US" w:eastAsia="en-GB"/>
              </w:rPr>
              <w:t>e</w:t>
            </w:r>
            <w:r w:rsidR="000F0ACB" w:rsidRPr="006E363D">
              <w:rPr>
                <w:sz w:val="22"/>
                <w:szCs w:val="22"/>
                <w:lang w:val="en-US" w:eastAsia="en-GB"/>
              </w:rPr>
              <w:t>lexacaftor</w:t>
            </w:r>
            <w:proofErr w:type="spellEnd"/>
            <w:r w:rsidR="000F0ACB" w:rsidRPr="006E363D">
              <w:rPr>
                <w:sz w:val="22"/>
                <w:szCs w:val="22"/>
                <w:lang w:val="en-US" w:eastAsia="en-GB"/>
              </w:rPr>
              <w:t>/</w:t>
            </w:r>
            <w:proofErr w:type="spellStart"/>
            <w:r w:rsidR="000F0ACB" w:rsidRPr="006E363D">
              <w:rPr>
                <w:sz w:val="22"/>
                <w:szCs w:val="22"/>
                <w:lang w:val="en-US" w:eastAsia="en-GB"/>
              </w:rPr>
              <w:t>tezacaftor</w:t>
            </w:r>
            <w:proofErr w:type="spellEnd"/>
            <w:r w:rsidR="000F0ACB" w:rsidRPr="006E363D">
              <w:rPr>
                <w:sz w:val="22"/>
                <w:szCs w:val="22"/>
                <w:lang w:val="en-US" w:eastAsia="en-GB"/>
              </w:rPr>
              <w:t>/ivacaftor</w:t>
            </w:r>
            <w:r w:rsidRPr="006E363D">
              <w:rPr>
                <w:sz w:val="22"/>
                <w:szCs w:val="22"/>
                <w:lang w:val="en-US" w:eastAsia="en-GB"/>
              </w:rPr>
              <w:t>, may restore innate immune function leading to improved outcomes for pulmonary infection in people with cystic fibrosis.</w:t>
            </w:r>
          </w:p>
          <w:p w14:paraId="2A651708" w14:textId="34500804" w:rsidR="001564A4" w:rsidRPr="0050053A" w:rsidRDefault="001564A4" w:rsidP="00812F70">
            <w:pPr>
              <w:pStyle w:val="Pa12"/>
              <w:jc w:val="both"/>
              <w:rPr>
                <w:sz w:val="22"/>
                <w:szCs w:val="22"/>
              </w:rPr>
            </w:pPr>
          </w:p>
          <w:p w14:paraId="3E8B4283" w14:textId="3B93596D" w:rsidR="001564A4" w:rsidRPr="0050053A" w:rsidRDefault="001564A4" w:rsidP="00812F70">
            <w:pPr>
              <w:pStyle w:val="Pa12"/>
              <w:jc w:val="both"/>
              <w:rPr>
                <w:rStyle w:val="A4"/>
                <w:b/>
                <w:bCs/>
              </w:rPr>
            </w:pPr>
            <w:r w:rsidRPr="0050053A">
              <w:rPr>
                <w:rStyle w:val="A4"/>
                <w:b/>
                <w:bCs/>
              </w:rPr>
              <w:t xml:space="preserve">Grant Support: </w:t>
            </w:r>
          </w:p>
          <w:p w14:paraId="07A33602" w14:textId="62024156" w:rsidR="00812F70" w:rsidRDefault="008347AB" w:rsidP="00812F70">
            <w:pPr>
              <w:pStyle w:val="Pa12"/>
              <w:jc w:val="both"/>
              <w:rPr>
                <w:sz w:val="22"/>
                <w:szCs w:val="22"/>
              </w:rPr>
            </w:pPr>
            <w:r>
              <w:rPr>
                <w:sz w:val="22"/>
                <w:szCs w:val="22"/>
              </w:rPr>
              <w:t>Nil</w:t>
            </w:r>
          </w:p>
          <w:p w14:paraId="025BC302" w14:textId="1B5BB249" w:rsidR="004A7752" w:rsidRDefault="001564A4" w:rsidP="00812F70">
            <w:pPr>
              <w:pStyle w:val="Pa12"/>
              <w:jc w:val="both"/>
              <w:rPr>
                <w:sz w:val="22"/>
                <w:szCs w:val="22"/>
              </w:rPr>
            </w:pPr>
            <w:r>
              <w:rPr>
                <w:sz w:val="22"/>
                <w:szCs w:val="22"/>
              </w:rPr>
              <w:br/>
            </w:r>
            <w:r w:rsidR="004A7752" w:rsidRPr="00321CE9">
              <w:rPr>
                <w:b/>
                <w:bCs/>
                <w:sz w:val="22"/>
                <w:szCs w:val="22"/>
              </w:rPr>
              <w:t>Key Words:</w:t>
            </w:r>
          </w:p>
          <w:p w14:paraId="361A3E9F" w14:textId="1E018CD1" w:rsidR="00D85808" w:rsidRPr="00D85808" w:rsidRDefault="00321CE9" w:rsidP="00D85808">
            <w:pPr>
              <w:pStyle w:val="Pa12"/>
              <w:jc w:val="both"/>
              <w:rPr>
                <w:sz w:val="22"/>
                <w:szCs w:val="22"/>
                <w:lang w:val="en-US" w:eastAsia="en-GB"/>
              </w:rPr>
            </w:pPr>
            <w:r w:rsidRPr="00321CE9">
              <w:rPr>
                <w:sz w:val="22"/>
                <w:szCs w:val="22"/>
                <w:lang w:val="en-US" w:eastAsia="en-GB"/>
              </w:rPr>
              <w:t>Cystic fibrosis</w:t>
            </w:r>
          </w:p>
          <w:p w14:paraId="4EBC6BB2" w14:textId="77777777" w:rsidR="00321CE9" w:rsidRPr="00321CE9" w:rsidRDefault="00321CE9" w:rsidP="00812F70">
            <w:pPr>
              <w:pStyle w:val="Pa12"/>
              <w:jc w:val="both"/>
              <w:rPr>
                <w:sz w:val="22"/>
                <w:szCs w:val="22"/>
                <w:lang w:val="en-US" w:eastAsia="en-GB"/>
              </w:rPr>
            </w:pPr>
            <w:r w:rsidRPr="00321CE9">
              <w:rPr>
                <w:sz w:val="22"/>
                <w:szCs w:val="22"/>
                <w:lang w:val="en-US" w:eastAsia="en-GB"/>
              </w:rPr>
              <w:t>Nontuberculous mycobacterium</w:t>
            </w:r>
          </w:p>
          <w:p w14:paraId="2D7C680D" w14:textId="77777777" w:rsidR="00321CE9" w:rsidRPr="00321CE9" w:rsidRDefault="00321CE9" w:rsidP="00812F70">
            <w:pPr>
              <w:pStyle w:val="Pa12"/>
              <w:jc w:val="both"/>
              <w:rPr>
                <w:sz w:val="22"/>
                <w:szCs w:val="22"/>
                <w:lang w:val="en-US" w:eastAsia="en-GB"/>
              </w:rPr>
            </w:pPr>
            <w:r w:rsidRPr="00321CE9">
              <w:rPr>
                <w:sz w:val="22"/>
                <w:szCs w:val="22"/>
                <w:lang w:val="en-US" w:eastAsia="en-GB"/>
              </w:rPr>
              <w:t>Mycobacterium abscessus</w:t>
            </w:r>
          </w:p>
          <w:p w14:paraId="34BF0A0F" w14:textId="7801667A" w:rsidR="001564A4" w:rsidRPr="003E35F0" w:rsidRDefault="00321CE9" w:rsidP="00142907">
            <w:pPr>
              <w:pStyle w:val="Pa12"/>
              <w:jc w:val="both"/>
            </w:pPr>
            <w:proofErr w:type="spellStart"/>
            <w:r w:rsidRPr="00321CE9">
              <w:rPr>
                <w:sz w:val="22"/>
                <w:szCs w:val="22"/>
                <w:lang w:val="en-US" w:eastAsia="en-GB"/>
              </w:rPr>
              <w:t>Elexacaftor</w:t>
            </w:r>
            <w:proofErr w:type="spellEnd"/>
            <w:r w:rsidRPr="00321CE9">
              <w:rPr>
                <w:sz w:val="22"/>
                <w:szCs w:val="22"/>
                <w:lang w:val="en-US" w:eastAsia="en-GB"/>
              </w:rPr>
              <w:t>/</w:t>
            </w:r>
            <w:proofErr w:type="spellStart"/>
            <w:r w:rsidRPr="00321CE9">
              <w:rPr>
                <w:sz w:val="22"/>
                <w:szCs w:val="22"/>
                <w:lang w:val="en-US" w:eastAsia="en-GB"/>
              </w:rPr>
              <w:t>Tezacaftor</w:t>
            </w:r>
            <w:proofErr w:type="spellEnd"/>
            <w:r w:rsidRPr="00321CE9">
              <w:rPr>
                <w:sz w:val="22"/>
                <w:szCs w:val="22"/>
                <w:lang w:val="en-US" w:eastAsia="en-GB"/>
              </w:rPr>
              <w:t>/Ivacafto</w:t>
            </w:r>
            <w:r>
              <w:rPr>
                <w:sz w:val="22"/>
                <w:szCs w:val="22"/>
                <w:lang w:val="en-US" w:eastAsia="en-GB"/>
              </w:rPr>
              <w:t>r</w:t>
            </w:r>
          </w:p>
          <w:p w14:paraId="1FF1A88F" w14:textId="77777777" w:rsidR="001564A4" w:rsidRPr="0050053A" w:rsidRDefault="001564A4" w:rsidP="00812F70">
            <w:pPr>
              <w:pStyle w:val="Pa12"/>
              <w:jc w:val="both"/>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812F70">
            <w:pPr>
              <w:pStyle w:val="Default"/>
              <w:jc w:val="both"/>
              <w:rPr>
                <w:rStyle w:val="A4"/>
                <w:bCs/>
              </w:rPr>
            </w:pPr>
          </w:p>
          <w:p w14:paraId="5F58D34F" w14:textId="77777777" w:rsidR="001564A4" w:rsidRPr="0050053A" w:rsidRDefault="001564A4" w:rsidP="00812F70">
            <w:pPr>
              <w:pStyle w:val="Default"/>
              <w:jc w:val="both"/>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13BE7"/>
    <w:rsid w:val="000758A7"/>
    <w:rsid w:val="00095798"/>
    <w:rsid w:val="000C60AE"/>
    <w:rsid w:val="000F0ACB"/>
    <w:rsid w:val="00126393"/>
    <w:rsid w:val="00142907"/>
    <w:rsid w:val="001564A4"/>
    <w:rsid w:val="001B3D63"/>
    <w:rsid w:val="001C112E"/>
    <w:rsid w:val="001C2D0A"/>
    <w:rsid w:val="00287FF9"/>
    <w:rsid w:val="002B059A"/>
    <w:rsid w:val="00300AAA"/>
    <w:rsid w:val="00321CE9"/>
    <w:rsid w:val="004A7752"/>
    <w:rsid w:val="00502E61"/>
    <w:rsid w:val="0051574E"/>
    <w:rsid w:val="005B3606"/>
    <w:rsid w:val="005B6D2B"/>
    <w:rsid w:val="005C435D"/>
    <w:rsid w:val="006179A8"/>
    <w:rsid w:val="00684A83"/>
    <w:rsid w:val="006A704E"/>
    <w:rsid w:val="006E363D"/>
    <w:rsid w:val="00707DE2"/>
    <w:rsid w:val="00755EE7"/>
    <w:rsid w:val="00812F70"/>
    <w:rsid w:val="00814867"/>
    <w:rsid w:val="008347AB"/>
    <w:rsid w:val="008565E0"/>
    <w:rsid w:val="008803FA"/>
    <w:rsid w:val="00881651"/>
    <w:rsid w:val="00985D05"/>
    <w:rsid w:val="00A43A71"/>
    <w:rsid w:val="00A8221A"/>
    <w:rsid w:val="00AB570B"/>
    <w:rsid w:val="00B04A6F"/>
    <w:rsid w:val="00B12E32"/>
    <w:rsid w:val="00BC739C"/>
    <w:rsid w:val="00BF3C43"/>
    <w:rsid w:val="00C27AED"/>
    <w:rsid w:val="00CC1570"/>
    <w:rsid w:val="00D43D5A"/>
    <w:rsid w:val="00D85808"/>
    <w:rsid w:val="00E0700F"/>
    <w:rsid w:val="00F41CB3"/>
    <w:rsid w:val="00F46E67"/>
    <w:rsid w:val="00F60F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4C24F2E658D44A39220E0F0DC6BB5" ma:contentTypeVersion="15" ma:contentTypeDescription="Create a new document." ma:contentTypeScope="" ma:versionID="fac980261ee51cc600439d85b497dad6">
  <xsd:schema xmlns:xsd="http://www.w3.org/2001/XMLSchema" xmlns:xs="http://www.w3.org/2001/XMLSchema" xmlns:p="http://schemas.microsoft.com/office/2006/metadata/properties" xmlns:ns3="4a3f3035-f87e-438f-bb96-ee02904c9a53" xmlns:ns4="eb128cf6-12cd-4faf-a018-c621074b2391" targetNamespace="http://schemas.microsoft.com/office/2006/metadata/properties" ma:root="true" ma:fieldsID="b4b03487bea3cdd7f4bae825c6c28dd2" ns3:_="" ns4:_="">
    <xsd:import namespace="4a3f3035-f87e-438f-bb96-ee02904c9a53"/>
    <xsd:import namespace="eb128cf6-12cd-4faf-a018-c621074b23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GenerationTime" minOccurs="0"/>
                <xsd:element ref="ns3:MediaServiceEventHashCode" minOccurs="0"/>
                <xsd:element ref="ns3:MediaServiceAutoTags"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f3035-f87e-438f-bb96-ee02904c9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128cf6-12cd-4faf-a018-c621074b23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a3f3035-f87e-438f-bb96-ee02904c9a53" xsi:nil="true"/>
  </documentManagement>
</p:properties>
</file>

<file path=customXml/itemProps1.xml><?xml version="1.0" encoding="utf-8"?>
<ds:datastoreItem xmlns:ds="http://schemas.openxmlformats.org/officeDocument/2006/customXml" ds:itemID="{0BF7DBF3-6D7C-4EE3-A651-C5F3629DE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f3035-f87e-438f-bb96-ee02904c9a53"/>
    <ds:schemaRef ds:uri="eb128cf6-12cd-4faf-a018-c621074b2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eb128cf6-12cd-4faf-a018-c621074b2391"/>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4a3f3035-f87e-438f-bb96-ee02904c9a5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AH1MEDTEACHING REG</cp:lastModifiedBy>
  <cp:revision>2</cp:revision>
  <dcterms:created xsi:type="dcterms:W3CDTF">2023-10-18T05:21:00Z</dcterms:created>
  <dcterms:modified xsi:type="dcterms:W3CDTF">2023-10-18T05:21:00Z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0x01010007A4C24F2E658D44A39220E0F0DC6BB5</vt:lpwstr>
  </property>
  <property fmtid="{D5CDD505-2E9C-101B-9397-08002B2CF9AE}" pid="3" name="MediaServiceImageTags">
    <vt:lpwstr/>
  </property>
</Properties>
</file>