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80CEFE3" w:rsidR="001564A4" w:rsidRPr="00FD54E3" w:rsidRDefault="00B960AC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FD54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PET/CT improves lung nodule biopsy management and reduces biopsy number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C1C029C" w:rsidR="001564A4" w:rsidRPr="00413B94" w:rsidRDefault="002D4F67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David Fielding</w:t>
            </w:r>
            <w:r w:rsidR="00AD0753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D0753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AD075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Calvin</w:t>
            </w:r>
            <w:r w:rsidR="00BF5D9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Sidhu</w:t>
            </w:r>
            <w:r w:rsidR="008B661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8B661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BF5D92">
              <w:rPr>
                <w:rFonts w:ascii="Arial" w:hAnsi="Arial" w:cs="Arial"/>
                <w:sz w:val="22"/>
                <w:szCs w:val="22"/>
                <w:lang w:val="en-US" w:eastAsia="en-GB"/>
              </w:rPr>
              <w:t>Jung Hwa Son</w:t>
            </w:r>
            <w:r w:rsidR="00BF5D9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8B661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BF5D92">
              <w:rPr>
                <w:rFonts w:ascii="Arial" w:hAnsi="Arial" w:cs="Arial"/>
                <w:sz w:val="22"/>
                <w:szCs w:val="22"/>
                <w:lang w:val="en-US" w:eastAsia="en-GB"/>
              </w:rPr>
              <w:t>Mahmoud Alkhater</w:t>
            </w:r>
            <w:r w:rsidR="00BF5D92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F5D92">
              <w:rPr>
                <w:rFonts w:ascii="Arial" w:hAnsi="Arial" w:cs="Arial"/>
                <w:sz w:val="22"/>
                <w:szCs w:val="22"/>
                <w:lang w:val="en-US" w:eastAsia="en-GB"/>
              </w:rPr>
              <w:t>, Karin Steinke</w:t>
            </w:r>
            <w:proofErr w:type="gramStart"/>
            <w:r w:rsidR="008B661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BF5D9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proofErr w:type="gramEnd"/>
            <w:r w:rsidR="008B661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BF5D92">
              <w:rPr>
                <w:rFonts w:ascii="Arial" w:hAnsi="Arial" w:cs="Arial"/>
                <w:sz w:val="22"/>
                <w:szCs w:val="22"/>
                <w:lang w:val="en-US" w:eastAsia="en-GB"/>
              </w:rPr>
              <w:t>Paul Thomas</w:t>
            </w:r>
            <w:r w:rsidR="008B661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BF5D92">
              <w:rPr>
                <w:rFonts w:ascii="Arial" w:hAnsi="Arial" w:cs="Arial"/>
                <w:sz w:val="22"/>
                <w:szCs w:val="22"/>
                <w:lang w:val="en-US" w:eastAsia="en-GB"/>
              </w:rPr>
              <w:t>, Morgan Windsor</w:t>
            </w:r>
            <w:r w:rsidR="008B661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BF5D9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8B6619">
              <w:rPr>
                <w:rFonts w:ascii="Arial" w:hAnsi="Arial" w:cs="Arial"/>
                <w:sz w:val="22"/>
                <w:szCs w:val="22"/>
                <w:lang w:val="en-US" w:eastAsia="en-GB"/>
              </w:rPr>
              <w:t>Mark Teh</w:t>
            </w:r>
            <w:r w:rsidR="008B661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8B6619">
              <w:rPr>
                <w:rFonts w:ascii="Arial" w:hAnsi="Arial" w:cs="Arial"/>
                <w:sz w:val="22"/>
                <w:szCs w:val="22"/>
                <w:lang w:val="en-US" w:eastAsia="en-GB"/>
              </w:rPr>
              <w:t>, Mark Newman</w:t>
            </w:r>
            <w:r w:rsidR="008B661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8B661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BF5D92">
              <w:rPr>
                <w:rFonts w:ascii="Arial" w:hAnsi="Arial" w:cs="Arial"/>
                <w:sz w:val="22"/>
                <w:szCs w:val="22"/>
                <w:lang w:val="en-US" w:eastAsia="en-GB"/>
              </w:rPr>
              <w:t>Roslyn Francis</w:t>
            </w:r>
            <w:r w:rsidR="008B661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BF5D92">
              <w:rPr>
                <w:rFonts w:ascii="Arial" w:hAnsi="Arial" w:cs="Arial"/>
                <w:sz w:val="22"/>
                <w:szCs w:val="22"/>
                <w:lang w:val="en-US" w:eastAsia="en-GB"/>
              </w:rPr>
              <w:t>, Rajesh Thomas</w:t>
            </w:r>
            <w:r w:rsidR="008B661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BF5D92">
              <w:rPr>
                <w:rFonts w:ascii="Arial" w:hAnsi="Arial" w:cs="Arial"/>
                <w:sz w:val="22"/>
                <w:szCs w:val="22"/>
                <w:lang w:val="en-US" w:eastAsia="en-GB"/>
              </w:rPr>
              <w:t>.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CEB9594" w14:textId="5818106C" w:rsidR="008B6619" w:rsidRDefault="001564A4" w:rsidP="008B661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D4F6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2D4F6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Royal Brisbane and Women’s Hospital</w:t>
            </w:r>
            <w:r w:rsidR="008B661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2D4F6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Thoracic Medicine</w:t>
            </w:r>
          </w:p>
          <w:p w14:paraId="766B4D24" w14:textId="77777777" w:rsidR="008B6619" w:rsidRDefault="008B6619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2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Sir Charles Gairdner Hospital,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</w:t>
            </w:r>
          </w:p>
          <w:p w14:paraId="0907300A" w14:textId="06DA3A42" w:rsidR="002D4F67" w:rsidRDefault="008B6619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3 </w:t>
            </w:r>
            <w:r w:rsidR="002D4F6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Royal Brisbane and Women’s Hospital Department of Medical Imaging</w:t>
            </w:r>
          </w:p>
          <w:p w14:paraId="55E9835E" w14:textId="7CF9BC08" w:rsidR="008B6619" w:rsidRDefault="008B6619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4 </w:t>
            </w:r>
            <w:r w:rsidR="002D4F6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Royal Brisbane and Women’s Hospital Department of Nuclear Medicine</w:t>
            </w:r>
          </w:p>
          <w:p w14:paraId="188DC475" w14:textId="4DB7D1FC" w:rsidR="002D4F67" w:rsidRDefault="008B6619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5 </w:t>
            </w:r>
            <w:r w:rsidR="002D4F6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Royal Brisbane and Women’s Hospital Department of Surgery</w:t>
            </w:r>
          </w:p>
          <w:p w14:paraId="4092036E" w14:textId="45469832" w:rsidR="008B6619" w:rsidRDefault="002D4F67" w:rsidP="008B661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6 </w:t>
            </w:r>
            <w:r w:rsidR="008B661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Sir Charles Gairdner Hospital,</w:t>
            </w:r>
            <w:r w:rsidR="008B6619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8B661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Radiology</w:t>
            </w:r>
          </w:p>
          <w:p w14:paraId="538ED35C" w14:textId="5C6BBC9F" w:rsidR="008B6619" w:rsidRDefault="008B6619" w:rsidP="008B661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7406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Sir Charles Gairdner Hospital,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Cardiothoracic Surgery</w:t>
            </w:r>
          </w:p>
          <w:p w14:paraId="45ED36BF" w14:textId="084A5982" w:rsidR="001564A4" w:rsidRPr="0050053A" w:rsidRDefault="008B6619" w:rsidP="008B661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960A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2D4F6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Sir Charles Gairdner Hospital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2D4F67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2D4F6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Nuclear Medicine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0F56158A" w14:textId="580098DE" w:rsidR="002D4F67" w:rsidRPr="00B1098B" w:rsidRDefault="001564A4" w:rsidP="00EF7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098B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>FDG PET/CT may have a role in guiding decisions for biopsy of lung</w:t>
            </w:r>
            <w:r w:rsidR="00BF5D92" w:rsidRPr="00B1098B">
              <w:rPr>
                <w:rFonts w:ascii="Arial" w:hAnsi="Arial" w:cs="Arial"/>
                <w:sz w:val="22"/>
                <w:szCs w:val="22"/>
              </w:rPr>
              <w:t xml:space="preserve"> nodules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 xml:space="preserve">. This study aimed to </w:t>
            </w:r>
            <w:r w:rsidR="008B6619" w:rsidRPr="00B1098B">
              <w:rPr>
                <w:rFonts w:ascii="Arial" w:hAnsi="Arial" w:cs="Arial"/>
                <w:sz w:val="22"/>
                <w:szCs w:val="22"/>
              </w:rPr>
              <w:t>assess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 xml:space="preserve"> the role of timing PET/CT to occur before any lung nodule biopsy.</w:t>
            </w:r>
          </w:p>
          <w:p w14:paraId="7DCB25DA" w14:textId="77777777" w:rsidR="00EF76D5" w:rsidRPr="00B1098B" w:rsidRDefault="00EF76D5" w:rsidP="00774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05C312" w14:textId="484AF9CF" w:rsidR="002D4F67" w:rsidRPr="00B1098B" w:rsidRDefault="001564A4" w:rsidP="00774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098B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>A prospective study was performed in 2 large tertiary hospitals. A study multidisciplinary team (MDT) was established, (independent of the hospital Tumour Board), to review referrals of lung nodules with an intermediate (≥ 10%) risk of malignancy</w:t>
            </w:r>
            <w:r w:rsidR="00BF5D92" w:rsidRPr="00B1098B">
              <w:rPr>
                <w:rFonts w:ascii="Arial" w:hAnsi="Arial" w:cs="Arial"/>
                <w:sz w:val="22"/>
                <w:szCs w:val="22"/>
              </w:rPr>
              <w:t xml:space="preserve"> by Brock risk calculation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 xml:space="preserve">. A two-stage consensus assessment was undertaken by the MDT regarding choice of biopsy: (1) </w:t>
            </w:r>
            <w:r w:rsidR="00AC0D36" w:rsidRPr="00B1098B"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>based on the referral CT, then (2) after unblinding the PET/CT</w:t>
            </w:r>
            <w:r w:rsidR="00211FD4" w:rsidRPr="00B1098B">
              <w:rPr>
                <w:rFonts w:ascii="Arial" w:hAnsi="Arial" w:cs="Arial"/>
                <w:sz w:val="22"/>
                <w:szCs w:val="22"/>
              </w:rPr>
              <w:t xml:space="preserve"> in the same s</w:t>
            </w:r>
            <w:r w:rsidR="008B6619" w:rsidRPr="00B1098B">
              <w:rPr>
                <w:rFonts w:ascii="Arial" w:hAnsi="Arial" w:cs="Arial"/>
                <w:sz w:val="22"/>
                <w:szCs w:val="22"/>
              </w:rPr>
              <w:t>i</w:t>
            </w:r>
            <w:r w:rsidR="00211FD4" w:rsidRPr="00B1098B">
              <w:rPr>
                <w:rFonts w:ascii="Arial" w:hAnsi="Arial" w:cs="Arial"/>
                <w:sz w:val="22"/>
                <w:szCs w:val="22"/>
              </w:rPr>
              <w:t>tting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>. The primary outcome was change in biopsy decision. Data was compared to a retrospective cohort w</w:t>
            </w:r>
            <w:r w:rsidR="008B6619" w:rsidRPr="00B1098B">
              <w:rPr>
                <w:rFonts w:ascii="Arial" w:hAnsi="Arial" w:cs="Arial"/>
                <w:sz w:val="22"/>
                <w:szCs w:val="22"/>
              </w:rPr>
              <w:t xml:space="preserve">here 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 xml:space="preserve">lung nodules </w:t>
            </w:r>
            <w:r w:rsidR="008B6619" w:rsidRPr="00B1098B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 xml:space="preserve">managed without MDT PET/CT </w:t>
            </w:r>
            <w:r w:rsidR="008B6619" w:rsidRPr="00B1098B">
              <w:rPr>
                <w:rFonts w:ascii="Arial" w:hAnsi="Arial" w:cs="Arial"/>
                <w:sz w:val="22"/>
                <w:szCs w:val="22"/>
              </w:rPr>
              <w:t>guidance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F5D92" w:rsidRPr="00B1098B">
              <w:rPr>
                <w:rFonts w:ascii="Arial" w:hAnsi="Arial" w:cs="Arial"/>
                <w:sz w:val="22"/>
                <w:szCs w:val="22"/>
              </w:rPr>
              <w:t>Patients going direct to surgery had Herder risk calculation as</w:t>
            </w:r>
            <w:r w:rsidR="00AC0D36" w:rsidRPr="00B109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5D92" w:rsidRPr="00B1098B">
              <w:rPr>
                <w:rFonts w:ascii="Arial" w:hAnsi="Arial" w:cs="Arial"/>
                <w:sz w:val="22"/>
                <w:szCs w:val="22"/>
              </w:rPr>
              <w:t>post hoc analysis.</w:t>
            </w:r>
          </w:p>
          <w:p w14:paraId="7526E884" w14:textId="77777777" w:rsidR="00EF76D5" w:rsidRPr="00B1098B" w:rsidRDefault="00EF76D5" w:rsidP="00EF76D5">
            <w:pPr>
              <w:pStyle w:val="Pa12"/>
              <w:spacing w:line="240" w:lineRule="auto"/>
              <w:jc w:val="both"/>
              <w:rPr>
                <w:rStyle w:val="A4"/>
                <w:b/>
                <w:bCs/>
              </w:rPr>
            </w:pPr>
          </w:p>
          <w:p w14:paraId="4C025B83" w14:textId="6BDE3091" w:rsidR="00EF76D5" w:rsidRPr="00B1098B" w:rsidRDefault="001564A4" w:rsidP="00EF76D5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B1098B">
              <w:rPr>
                <w:rStyle w:val="A4"/>
                <w:b/>
                <w:bCs/>
              </w:rPr>
              <w:t xml:space="preserve">Results: </w:t>
            </w:r>
            <w:r w:rsidR="002D4F67" w:rsidRPr="00B1098B">
              <w:rPr>
                <w:sz w:val="22"/>
                <w:szCs w:val="22"/>
              </w:rPr>
              <w:t>168 patients were included; 53% of nodules were malignant, 44% were benign and 3% refused follow-up. 60</w:t>
            </w:r>
            <w:r w:rsidR="0043382D" w:rsidRPr="00B1098B">
              <w:rPr>
                <w:sz w:val="22"/>
                <w:szCs w:val="22"/>
              </w:rPr>
              <w:t xml:space="preserve"> </w:t>
            </w:r>
            <w:r w:rsidR="002D4F67" w:rsidRPr="00B1098B">
              <w:rPr>
                <w:sz w:val="22"/>
                <w:szCs w:val="22"/>
              </w:rPr>
              <w:t xml:space="preserve">patients (36%) had a change in </w:t>
            </w:r>
            <w:r w:rsidR="0043382D" w:rsidRPr="00B1098B">
              <w:rPr>
                <w:sz w:val="22"/>
                <w:szCs w:val="22"/>
              </w:rPr>
              <w:t xml:space="preserve">their </w:t>
            </w:r>
            <w:r w:rsidR="002D4F67" w:rsidRPr="00B1098B">
              <w:rPr>
                <w:sz w:val="22"/>
                <w:szCs w:val="22"/>
              </w:rPr>
              <w:t>initial biopsy</w:t>
            </w:r>
            <w:r w:rsidR="0043382D" w:rsidRPr="00B1098B">
              <w:rPr>
                <w:sz w:val="22"/>
                <w:szCs w:val="22"/>
              </w:rPr>
              <w:t xml:space="preserve"> recommendation</w:t>
            </w:r>
            <w:r w:rsidR="002D4F67" w:rsidRPr="00B1098B">
              <w:rPr>
                <w:sz w:val="22"/>
                <w:szCs w:val="22"/>
              </w:rPr>
              <w:t xml:space="preserve">. Regarding whether to biopsy the nodule or not, 42 cases (25%) had a change of </w:t>
            </w:r>
            <w:r w:rsidR="0043382D" w:rsidRPr="00B1098B">
              <w:rPr>
                <w:sz w:val="22"/>
                <w:szCs w:val="22"/>
              </w:rPr>
              <w:t xml:space="preserve">biopsy decision </w:t>
            </w:r>
            <w:r w:rsidR="002D4F67" w:rsidRPr="00B1098B">
              <w:rPr>
                <w:sz w:val="22"/>
                <w:szCs w:val="22"/>
              </w:rPr>
              <w:t xml:space="preserve">(P &lt;0.01). </w:t>
            </w:r>
            <w:r w:rsidR="008B6619" w:rsidRPr="00B1098B">
              <w:rPr>
                <w:sz w:val="22"/>
                <w:szCs w:val="22"/>
              </w:rPr>
              <w:t xml:space="preserve">The </w:t>
            </w:r>
            <w:r w:rsidR="002D4F67" w:rsidRPr="00B1098B">
              <w:rPr>
                <w:sz w:val="22"/>
                <w:szCs w:val="22"/>
              </w:rPr>
              <w:t xml:space="preserve">estimated total cost reduction by </w:t>
            </w:r>
            <w:r w:rsidR="0043382D" w:rsidRPr="00B1098B">
              <w:rPr>
                <w:sz w:val="22"/>
                <w:szCs w:val="22"/>
              </w:rPr>
              <w:t xml:space="preserve">biopsy </w:t>
            </w:r>
            <w:r w:rsidR="002D4F67" w:rsidRPr="00B1098B">
              <w:rPr>
                <w:sz w:val="22"/>
                <w:szCs w:val="22"/>
              </w:rPr>
              <w:t xml:space="preserve">avoidance </w:t>
            </w:r>
            <w:r w:rsidR="008B6619" w:rsidRPr="00B1098B">
              <w:rPr>
                <w:sz w:val="22"/>
                <w:szCs w:val="22"/>
              </w:rPr>
              <w:t xml:space="preserve">was </w:t>
            </w:r>
            <w:r w:rsidR="002D4F67" w:rsidRPr="00B1098B">
              <w:rPr>
                <w:sz w:val="22"/>
                <w:szCs w:val="22"/>
              </w:rPr>
              <w:t>62,306 AUD (370 AUD per patient). Comparing the prospective cohort to the retrospective group of 132 patients without the study intervention, the overall rate of biopsy was lower (68% vs 98%, p&lt;0.0001), and the direct</w:t>
            </w:r>
            <w:r w:rsidR="008B6619" w:rsidRPr="00B1098B">
              <w:rPr>
                <w:sz w:val="22"/>
                <w:szCs w:val="22"/>
              </w:rPr>
              <w:t>-</w:t>
            </w:r>
            <w:r w:rsidR="002D4F67" w:rsidRPr="00B1098B">
              <w:rPr>
                <w:sz w:val="22"/>
                <w:szCs w:val="22"/>
              </w:rPr>
              <w:t>to</w:t>
            </w:r>
            <w:r w:rsidR="008B6619" w:rsidRPr="00B1098B">
              <w:rPr>
                <w:sz w:val="22"/>
                <w:szCs w:val="22"/>
              </w:rPr>
              <w:t>-</w:t>
            </w:r>
            <w:r w:rsidR="002D4F67" w:rsidRPr="00B1098B">
              <w:rPr>
                <w:sz w:val="22"/>
                <w:szCs w:val="22"/>
              </w:rPr>
              <w:t>surgery rate was higher (13.7% vs 3.8% P=0.01).</w:t>
            </w:r>
            <w:r w:rsidR="00BF5D92" w:rsidRPr="00B1098B">
              <w:rPr>
                <w:sz w:val="22"/>
                <w:szCs w:val="22"/>
              </w:rPr>
              <w:t xml:space="preserve"> For direct-to-surgery cases, a </w:t>
            </w:r>
            <w:r w:rsidR="008B6619" w:rsidRPr="00B1098B">
              <w:rPr>
                <w:sz w:val="22"/>
                <w:szCs w:val="22"/>
              </w:rPr>
              <w:t>p</w:t>
            </w:r>
            <w:r w:rsidR="00BF5D92" w:rsidRPr="00B1098B">
              <w:rPr>
                <w:sz w:val="22"/>
                <w:szCs w:val="22"/>
              </w:rPr>
              <w:t>ost</w:t>
            </w:r>
            <w:r w:rsidR="008B6619" w:rsidRPr="00B1098B">
              <w:rPr>
                <w:sz w:val="22"/>
                <w:szCs w:val="22"/>
              </w:rPr>
              <w:t>-h</w:t>
            </w:r>
            <w:r w:rsidR="00BF5D92" w:rsidRPr="00B1098B">
              <w:rPr>
                <w:sz w:val="22"/>
                <w:szCs w:val="22"/>
              </w:rPr>
              <w:t xml:space="preserve">oc Herder risk of cancer likelihood </w:t>
            </w:r>
            <w:r w:rsidR="008B6619" w:rsidRPr="00B1098B">
              <w:rPr>
                <w:sz w:val="22"/>
                <w:szCs w:val="22"/>
              </w:rPr>
              <w:t xml:space="preserve">calculation </w:t>
            </w:r>
            <w:r w:rsidR="00BF5D92" w:rsidRPr="00B1098B">
              <w:rPr>
                <w:sz w:val="22"/>
                <w:szCs w:val="22"/>
              </w:rPr>
              <w:t>showed a mean (SD) of 83.7% ±15.7. Half of the cases had risk prediction of &gt; 90%.</w:t>
            </w:r>
          </w:p>
          <w:p w14:paraId="0DC6FC77" w14:textId="20071D79" w:rsidR="00BF5D92" w:rsidRPr="00B1098B" w:rsidRDefault="00BF5D92" w:rsidP="0077406B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B1098B">
              <w:rPr>
                <w:sz w:val="22"/>
                <w:szCs w:val="22"/>
              </w:rPr>
              <w:t xml:space="preserve"> </w:t>
            </w:r>
          </w:p>
          <w:p w14:paraId="0FE7499F" w14:textId="28873603" w:rsidR="002D4F67" w:rsidRPr="00B1098B" w:rsidRDefault="001564A4" w:rsidP="00774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098B">
              <w:rPr>
                <w:rStyle w:val="A4"/>
                <w:rFonts w:ascii="Arial" w:hAnsi="Arial" w:cs="Arial"/>
                <w:b/>
                <w:bCs/>
              </w:rPr>
              <w:t xml:space="preserve">Conclusion: 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 xml:space="preserve">In patients with </w:t>
            </w:r>
            <w:r w:rsidR="008B6619" w:rsidRPr="00B1098B">
              <w:rPr>
                <w:rFonts w:ascii="Arial" w:hAnsi="Arial" w:cs="Arial"/>
                <w:sz w:val="22"/>
                <w:szCs w:val="22"/>
              </w:rPr>
              <w:t xml:space="preserve">suspicious lung nodule(s) of 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>moderate risk of malignancy</w:t>
            </w:r>
            <w:r w:rsidR="008B6619" w:rsidRPr="00B1098B">
              <w:rPr>
                <w:rFonts w:ascii="Arial" w:hAnsi="Arial" w:cs="Arial"/>
                <w:sz w:val="22"/>
                <w:szCs w:val="22"/>
              </w:rPr>
              <w:t>,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 xml:space="preserve"> FDG PET/CT reviewed in a multidisciplinary setting </w:t>
            </w:r>
            <w:r w:rsidR="008B6619" w:rsidRPr="00B1098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before </w:t>
            </w:r>
            <w:r w:rsidR="008B6619" w:rsidRPr="00B1098B">
              <w:rPr>
                <w:rFonts w:ascii="Arial" w:hAnsi="Arial" w:cs="Arial"/>
                <w:sz w:val="22"/>
                <w:szCs w:val="22"/>
              </w:rPr>
              <w:t>any biopsy</w:t>
            </w:r>
            <w:r w:rsidR="008B6619" w:rsidRPr="00B1098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B6619" w:rsidRPr="00B1098B">
              <w:rPr>
                <w:rFonts w:ascii="Arial" w:hAnsi="Arial" w:cs="Arial"/>
                <w:sz w:val="22"/>
                <w:szCs w:val="22"/>
              </w:rPr>
              <w:t xml:space="preserve">improves nodule biopsy decision making and reduces overall number of biopsies. </w:t>
            </w:r>
            <w:r w:rsidR="002D4F67" w:rsidRPr="00B109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2F7BE1" w14:textId="3700159B" w:rsidR="001564A4" w:rsidRPr="00B1098B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3E8B4283" w14:textId="235BCEAE" w:rsidR="001564A4" w:rsidRPr="00B1098B" w:rsidRDefault="001564A4" w:rsidP="000A28E2">
            <w:pPr>
              <w:pStyle w:val="Pa12"/>
              <w:rPr>
                <w:rStyle w:val="A4"/>
                <w:color w:val="auto"/>
              </w:rPr>
            </w:pPr>
            <w:r w:rsidRPr="00B1098B">
              <w:rPr>
                <w:rStyle w:val="A4"/>
                <w:b/>
                <w:bCs/>
              </w:rPr>
              <w:t xml:space="preserve">Grant Support: </w:t>
            </w:r>
            <w:r w:rsidR="00BF5D92" w:rsidRPr="00B1098B">
              <w:rPr>
                <w:rStyle w:val="A4"/>
                <w:b/>
                <w:bCs/>
              </w:rPr>
              <w:t>Nil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 w:rsidRPr="00B1098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C55C5"/>
    <w:rsid w:val="00211FD4"/>
    <w:rsid w:val="002D4F67"/>
    <w:rsid w:val="0043382D"/>
    <w:rsid w:val="0051574E"/>
    <w:rsid w:val="0077406B"/>
    <w:rsid w:val="008803FA"/>
    <w:rsid w:val="008B6619"/>
    <w:rsid w:val="009A07A6"/>
    <w:rsid w:val="00AC0D36"/>
    <w:rsid w:val="00AD0753"/>
    <w:rsid w:val="00B1098B"/>
    <w:rsid w:val="00B12E32"/>
    <w:rsid w:val="00B960AC"/>
    <w:rsid w:val="00BF5D92"/>
    <w:rsid w:val="00DF2DB3"/>
    <w:rsid w:val="00E0700F"/>
    <w:rsid w:val="00EF76D5"/>
    <w:rsid w:val="00FB6354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8B661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A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7A6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7A6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David Fielding</cp:lastModifiedBy>
  <cp:revision>3</cp:revision>
  <dcterms:created xsi:type="dcterms:W3CDTF">2023-10-18T20:01:00Z</dcterms:created>
  <dcterms:modified xsi:type="dcterms:W3CDTF">2023-10-18T21:59:00Z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