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D263" w14:textId="47DA30F3" w:rsidR="002D1AC0" w:rsidRPr="002D1AC0" w:rsidRDefault="002D1AC0" w:rsidP="002D1AC0">
      <w:pPr>
        <w:rPr>
          <w:rFonts w:ascii="Arial" w:hAnsi="Arial" w:cs="Arial"/>
          <w:lang w:val="en-GB"/>
        </w:rPr>
      </w:pPr>
      <w:r w:rsidRPr="001C4412">
        <w:rPr>
          <w:rFonts w:ascii="Arial" w:hAnsi="Arial" w:cs="Arial"/>
          <w:b/>
          <w:bCs/>
          <w:lang w:val="en-GB"/>
        </w:rPr>
        <w:t xml:space="preserve">Title: </w:t>
      </w:r>
      <w:r w:rsidR="00F36405" w:rsidRPr="00F36405">
        <w:rPr>
          <w:rFonts w:ascii="Arial" w:hAnsi="Arial" w:cs="Arial"/>
        </w:rPr>
        <w:t>Bone health screening in patients with type 2 diabetes mellitus - a single-centre retrospective audit</w:t>
      </w:r>
      <w:r w:rsidR="00F36405" w:rsidRPr="00F36405">
        <w:rPr>
          <w:rFonts w:ascii="Arial" w:hAnsi="Arial" w:cs="Arial"/>
          <w:b/>
          <w:bCs/>
        </w:rPr>
        <w:t> </w:t>
      </w:r>
    </w:p>
    <w:p w14:paraId="79776B6F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14439B53" w14:textId="1894B7B7" w:rsidR="00F36405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Background &amp; Aim:</w:t>
      </w:r>
      <w:r>
        <w:rPr>
          <w:rFonts w:ascii="Arial" w:hAnsi="Arial" w:cs="Arial"/>
          <w:lang w:val="en-GB"/>
        </w:rPr>
        <w:t xml:space="preserve"> </w:t>
      </w:r>
    </w:p>
    <w:p w14:paraId="104C262A" w14:textId="77777777" w:rsidR="00F36405" w:rsidRDefault="00F36405" w:rsidP="00F36405">
      <w:pPr>
        <w:spacing w:line="276" w:lineRule="auto"/>
        <w:rPr>
          <w:rFonts w:ascii="Arial" w:hAnsi="Arial" w:cs="Arial"/>
        </w:rPr>
      </w:pPr>
    </w:p>
    <w:p w14:paraId="76DCADC1" w14:textId="1DF88C40" w:rsidR="00F36405" w:rsidRDefault="00F36405" w:rsidP="00F3640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Skeletal fragility is increasingly recognised as a complication of T2DM. </w:t>
      </w:r>
      <w:r w:rsidRPr="00C62EA9">
        <w:rPr>
          <w:rFonts w:ascii="Arial" w:hAnsi="Arial" w:cs="Arial"/>
        </w:rPr>
        <w:t xml:space="preserve">However, </w:t>
      </w:r>
      <w:r w:rsidR="00C138E5">
        <w:rPr>
          <w:rFonts w:ascii="Arial" w:hAnsi="Arial" w:cs="Arial"/>
        </w:rPr>
        <w:t>bone mineral density (</w:t>
      </w:r>
      <w:r w:rsidRPr="00C62EA9">
        <w:rPr>
          <w:rFonts w:ascii="Arial" w:hAnsi="Arial" w:cs="Arial"/>
        </w:rPr>
        <w:t>BMD</w:t>
      </w:r>
      <w:r w:rsidR="00C138E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screening</w:t>
      </w:r>
      <w:r w:rsidRPr="00C62EA9">
        <w:rPr>
          <w:rFonts w:ascii="Arial" w:hAnsi="Arial" w:cs="Arial"/>
        </w:rPr>
        <w:t xml:space="preserve"> using dual-energy X-ray absorptiometry (DXA)</w:t>
      </w:r>
      <w:r>
        <w:rPr>
          <w:rFonts w:ascii="Arial" w:hAnsi="Arial" w:cs="Arial"/>
        </w:rPr>
        <w:t xml:space="preserve"> </w:t>
      </w:r>
      <w:r w:rsidRPr="00C62EA9">
        <w:rPr>
          <w:rFonts w:ascii="Arial" w:hAnsi="Arial" w:cs="Arial"/>
        </w:rPr>
        <w:t>underestimate</w:t>
      </w:r>
      <w:r>
        <w:rPr>
          <w:rFonts w:ascii="Arial" w:hAnsi="Arial" w:cs="Arial"/>
        </w:rPr>
        <w:t>s</w:t>
      </w:r>
      <w:r w:rsidRPr="00C62EA9">
        <w:rPr>
          <w:rFonts w:ascii="Arial" w:hAnsi="Arial" w:cs="Arial"/>
        </w:rPr>
        <w:t xml:space="preserve"> fracture risk in T2DM patients, as BMD </w:t>
      </w:r>
      <w:r>
        <w:rPr>
          <w:rFonts w:ascii="Arial" w:hAnsi="Arial" w:cs="Arial"/>
        </w:rPr>
        <w:t xml:space="preserve">is </w:t>
      </w:r>
      <w:r w:rsidRPr="00C62EA9">
        <w:rPr>
          <w:rFonts w:ascii="Arial" w:hAnsi="Arial" w:cs="Arial"/>
        </w:rPr>
        <w:t>often normal</w:t>
      </w:r>
      <w:r>
        <w:rPr>
          <w:rFonts w:ascii="Arial" w:hAnsi="Arial" w:cs="Arial"/>
        </w:rPr>
        <w:t>/</w:t>
      </w:r>
      <w:r w:rsidRPr="00C62EA9">
        <w:rPr>
          <w:rFonts w:ascii="Arial" w:hAnsi="Arial" w:cs="Arial"/>
        </w:rPr>
        <w:t xml:space="preserve">elevated </w:t>
      </w:r>
      <w:r>
        <w:rPr>
          <w:rFonts w:ascii="Arial" w:hAnsi="Arial" w:cs="Arial"/>
        </w:rPr>
        <w:t>due to concomitant obesity</w:t>
      </w:r>
      <w:r w:rsidRPr="00C62E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138E5">
        <w:rPr>
          <w:rFonts w:ascii="Arial" w:hAnsi="Arial" w:cs="Arial"/>
        </w:rPr>
        <w:t>T</w:t>
      </w:r>
      <w:r>
        <w:rPr>
          <w:rFonts w:ascii="Arial" w:hAnsi="Arial" w:cs="Arial"/>
        </w:rPr>
        <w:t>here is no current Medicare-funded reimbursement for screening DXA</w:t>
      </w:r>
      <w:r w:rsidR="00140E3F">
        <w:rPr>
          <w:rFonts w:ascii="Arial" w:hAnsi="Arial" w:cs="Arial"/>
          <w:vertAlign w:val="superscript"/>
        </w:rPr>
        <w:t xml:space="preserve"> </w:t>
      </w:r>
      <w:r w:rsidR="00C138E5">
        <w:rPr>
          <w:rFonts w:ascii="Arial" w:hAnsi="Arial" w:cs="Arial"/>
        </w:rPr>
        <w:t xml:space="preserve">for patients with T2DM under the age of 70 </w:t>
      </w:r>
      <w:r>
        <w:rPr>
          <w:rFonts w:ascii="Arial" w:hAnsi="Arial" w:cs="Arial"/>
        </w:rPr>
        <w:t xml:space="preserve">and it is unclear what proportion of </w:t>
      </w:r>
      <w:r w:rsidR="00C138E5">
        <w:rPr>
          <w:rFonts w:ascii="Arial" w:hAnsi="Arial" w:cs="Arial"/>
        </w:rPr>
        <w:t>these</w:t>
      </w:r>
      <w:r>
        <w:rPr>
          <w:rFonts w:ascii="Arial" w:hAnsi="Arial" w:cs="Arial"/>
        </w:rPr>
        <w:t xml:space="preserve"> patients undergo bone health assessment</w:t>
      </w:r>
      <w:r w:rsidR="00C138E5">
        <w:rPr>
          <w:rFonts w:ascii="Arial" w:hAnsi="Arial" w:cs="Arial"/>
        </w:rPr>
        <w:t>.</w:t>
      </w:r>
    </w:p>
    <w:p w14:paraId="229DA2D2" w14:textId="77777777" w:rsidR="00F36405" w:rsidRPr="00C62EA9" w:rsidRDefault="00F36405" w:rsidP="00F36405">
      <w:pPr>
        <w:spacing w:line="276" w:lineRule="auto"/>
        <w:rPr>
          <w:rFonts w:ascii="Arial" w:hAnsi="Arial" w:cs="Arial"/>
        </w:rPr>
      </w:pPr>
    </w:p>
    <w:p w14:paraId="0B02BC11" w14:textId="4FC8E756" w:rsidR="00F36405" w:rsidRPr="00C62EA9" w:rsidRDefault="00F36405" w:rsidP="00F36405">
      <w:pPr>
        <w:spacing w:line="276" w:lineRule="auto"/>
        <w:rPr>
          <w:rFonts w:ascii="Arial" w:hAnsi="Arial" w:cs="Arial"/>
        </w:rPr>
      </w:pPr>
      <w:r w:rsidRPr="00C62EA9">
        <w:rPr>
          <w:rFonts w:ascii="Arial" w:hAnsi="Arial" w:cs="Arial"/>
        </w:rPr>
        <w:t xml:space="preserve">This study aims to evaluate the frequency of bone health </w:t>
      </w:r>
      <w:r>
        <w:rPr>
          <w:rFonts w:ascii="Arial" w:hAnsi="Arial" w:cs="Arial"/>
        </w:rPr>
        <w:t>assessment</w:t>
      </w:r>
      <w:r w:rsidRPr="00C62EA9">
        <w:rPr>
          <w:rFonts w:ascii="Arial" w:hAnsi="Arial" w:cs="Arial"/>
        </w:rPr>
        <w:t xml:space="preserve"> </w:t>
      </w:r>
      <w:r w:rsidR="00C138E5">
        <w:rPr>
          <w:rFonts w:ascii="Arial" w:hAnsi="Arial" w:cs="Arial"/>
        </w:rPr>
        <w:t xml:space="preserve">in our clinic and </w:t>
      </w:r>
      <w:r w:rsidRPr="00C62EA9">
        <w:rPr>
          <w:rFonts w:ascii="Arial" w:hAnsi="Arial" w:cs="Arial"/>
        </w:rPr>
        <w:t>investigate associations between diabetes-related metabolic factors</w:t>
      </w:r>
      <w:r>
        <w:rPr>
          <w:rFonts w:ascii="Arial" w:hAnsi="Arial" w:cs="Arial"/>
        </w:rPr>
        <w:t xml:space="preserve"> with </w:t>
      </w:r>
      <w:r w:rsidRPr="00C62EA9">
        <w:rPr>
          <w:rFonts w:ascii="Arial" w:hAnsi="Arial" w:cs="Arial"/>
        </w:rPr>
        <w:t xml:space="preserve">BMD. </w:t>
      </w:r>
    </w:p>
    <w:p w14:paraId="26DC9213" w14:textId="77777777" w:rsidR="00F36405" w:rsidRPr="00F36405" w:rsidRDefault="00F36405" w:rsidP="002D1AC0">
      <w:pPr>
        <w:rPr>
          <w:rFonts w:ascii="Arial" w:hAnsi="Arial" w:cs="Arial"/>
        </w:rPr>
      </w:pPr>
    </w:p>
    <w:p w14:paraId="07045825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061ABEE6" w14:textId="667A9E76" w:rsidR="002D1AC0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Methods:</w:t>
      </w:r>
      <w:r>
        <w:rPr>
          <w:rFonts w:ascii="Arial" w:hAnsi="Arial" w:cs="Arial"/>
          <w:lang w:val="en-GB"/>
        </w:rPr>
        <w:t xml:space="preserve"> </w:t>
      </w:r>
    </w:p>
    <w:p w14:paraId="3734F40C" w14:textId="77777777" w:rsidR="00F36405" w:rsidRPr="002D1AC0" w:rsidRDefault="00F36405" w:rsidP="002D1AC0">
      <w:pPr>
        <w:rPr>
          <w:rFonts w:ascii="Arial" w:hAnsi="Arial" w:cs="Arial"/>
          <w:lang w:val="en-GB"/>
        </w:rPr>
      </w:pPr>
    </w:p>
    <w:p w14:paraId="4CCE2241" w14:textId="222F05D9" w:rsidR="00F36405" w:rsidRDefault="00F36405" w:rsidP="00F3640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Two researchers </w:t>
      </w:r>
      <w:r w:rsidRPr="00C62EA9">
        <w:rPr>
          <w:rFonts w:ascii="Arial" w:hAnsi="Arial" w:cs="Arial"/>
        </w:rPr>
        <w:t>will collect</w:t>
      </w:r>
      <w:r>
        <w:rPr>
          <w:rFonts w:ascii="Arial" w:hAnsi="Arial" w:cs="Arial"/>
        </w:rPr>
        <w:t xml:space="preserve"> </w:t>
      </w:r>
      <w:r w:rsidR="00C138E5">
        <w:rPr>
          <w:rFonts w:ascii="Arial" w:hAnsi="Arial" w:cs="Arial" w:hint="eastAsia"/>
          <w:lang w:eastAsia="zh-CN"/>
        </w:rPr>
        <w:t xml:space="preserve">retrospective </w:t>
      </w:r>
      <w:r>
        <w:rPr>
          <w:rFonts w:ascii="Arial" w:hAnsi="Arial" w:cs="Arial"/>
        </w:rPr>
        <w:t>data</w:t>
      </w:r>
      <w:r w:rsidR="00C138E5">
        <w:rPr>
          <w:rFonts w:ascii="Arial" w:hAnsi="Arial" w:cs="Arial"/>
        </w:rPr>
        <w:t xml:space="preserve"> from patients attending</w:t>
      </w:r>
      <w:r w:rsidR="00C138E5" w:rsidRPr="00C62EA9">
        <w:rPr>
          <w:rFonts w:ascii="Arial" w:hAnsi="Arial" w:cs="Arial"/>
        </w:rPr>
        <w:t xml:space="preserve"> St Vincent’s Hospita</w:t>
      </w:r>
      <w:r w:rsidR="00C138E5">
        <w:rPr>
          <w:rFonts w:ascii="Arial" w:hAnsi="Arial" w:cs="Arial"/>
        </w:rPr>
        <w:t xml:space="preserve">l Complex Diabetes Clinics </w:t>
      </w:r>
      <w:r>
        <w:rPr>
          <w:rFonts w:ascii="Arial" w:hAnsi="Arial" w:cs="Arial"/>
        </w:rPr>
        <w:t>between</w:t>
      </w:r>
      <w:r w:rsidRPr="00C62EA9">
        <w:rPr>
          <w:rFonts w:ascii="Arial" w:hAnsi="Arial" w:cs="Arial"/>
        </w:rPr>
        <w:t xml:space="preserve"> July</w:t>
      </w:r>
      <w:r>
        <w:rPr>
          <w:rFonts w:ascii="Arial" w:hAnsi="Arial" w:cs="Arial"/>
        </w:rPr>
        <w:t>-</w:t>
      </w:r>
      <w:r w:rsidRPr="00C62EA9">
        <w:rPr>
          <w:rFonts w:ascii="Arial" w:hAnsi="Arial" w:cs="Arial"/>
        </w:rPr>
        <w:t>December 2023.</w:t>
      </w:r>
    </w:p>
    <w:p w14:paraId="0DA08890" w14:textId="77777777" w:rsidR="00C138E5" w:rsidRDefault="00C138E5" w:rsidP="00F36405">
      <w:pPr>
        <w:spacing w:line="276" w:lineRule="auto"/>
        <w:rPr>
          <w:rFonts w:ascii="Arial" w:hAnsi="Arial" w:cs="Arial"/>
        </w:rPr>
      </w:pPr>
    </w:p>
    <w:p w14:paraId="3D76203A" w14:textId="43FBCBBD" w:rsidR="00C138E5" w:rsidRPr="00C138E5" w:rsidRDefault="00C138E5" w:rsidP="00C138E5">
      <w:pPr>
        <w:spacing w:line="276" w:lineRule="auto"/>
        <w:rPr>
          <w:rFonts w:ascii="Arial" w:hAnsi="Arial" w:cs="Arial"/>
          <w:lang w:val="en-AU"/>
        </w:rPr>
      </w:pPr>
      <w:r w:rsidRPr="00C138E5">
        <w:rPr>
          <w:rFonts w:ascii="Arial" w:hAnsi="Arial" w:cs="Arial"/>
          <w:lang w:val="en-AU"/>
        </w:rPr>
        <w:t>Records</w:t>
      </w:r>
      <w:r>
        <w:rPr>
          <w:rFonts w:ascii="Arial" w:hAnsi="Arial" w:cs="Arial"/>
          <w:lang w:val="en-AU"/>
        </w:rPr>
        <w:t xml:space="preserve"> were</w:t>
      </w:r>
      <w:r w:rsidRPr="00C138E5">
        <w:rPr>
          <w:rFonts w:ascii="Arial" w:hAnsi="Arial" w:cs="Arial"/>
          <w:lang w:val="en-AU"/>
        </w:rPr>
        <w:t xml:space="preserve"> assessed for bone health assessment: fracture history, DXA BMD, trabecular bone score (TBS), anti-resorptive therapy, and documentation of screening status</w:t>
      </w:r>
      <w:r>
        <w:rPr>
          <w:rFonts w:ascii="Arial" w:hAnsi="Arial" w:cs="Arial"/>
          <w:lang w:val="en-AU"/>
        </w:rPr>
        <w:t xml:space="preserve">. </w:t>
      </w:r>
      <w:r w:rsidRPr="00C138E5">
        <w:rPr>
          <w:rFonts w:ascii="Arial" w:hAnsi="Arial" w:cs="Arial"/>
          <w:lang w:val="en-AU"/>
        </w:rPr>
        <w:t>Associations between T2DM-related factors (BMI,</w:t>
      </w:r>
      <w:r>
        <w:rPr>
          <w:rFonts w:ascii="Arial" w:hAnsi="Arial" w:cs="Arial"/>
          <w:lang w:val="en-AU"/>
        </w:rPr>
        <w:t xml:space="preserve"> </w:t>
      </w:r>
      <w:r w:rsidRPr="00C138E5">
        <w:rPr>
          <w:rFonts w:ascii="Arial" w:hAnsi="Arial" w:cs="Arial"/>
          <w:lang w:val="en-AU"/>
        </w:rPr>
        <w:t>complications, HbA1c, UACR, CKD stage, lipids, 25-hydroxyvitamin D) and BMD (total hip and lumbar spine)</w:t>
      </w:r>
      <w:r>
        <w:rPr>
          <w:rFonts w:ascii="Arial" w:hAnsi="Arial" w:cs="Arial"/>
          <w:lang w:val="en-AU"/>
        </w:rPr>
        <w:t xml:space="preserve"> were </w:t>
      </w:r>
      <w:r w:rsidRPr="00C138E5">
        <w:rPr>
          <w:rFonts w:ascii="Arial" w:hAnsi="Arial" w:cs="Arial"/>
          <w:lang w:val="en-AU"/>
        </w:rPr>
        <w:t>assessed using Spearman correlations</w:t>
      </w:r>
      <w:r>
        <w:rPr>
          <w:rFonts w:ascii="Arial" w:hAnsi="Arial" w:cs="Arial"/>
          <w:lang w:val="en-AU"/>
        </w:rPr>
        <w:t>.</w:t>
      </w:r>
    </w:p>
    <w:p w14:paraId="25FAD479" w14:textId="0AA92673" w:rsidR="00F36405" w:rsidRDefault="00F36405" w:rsidP="00F36405">
      <w:pPr>
        <w:rPr>
          <w:rFonts w:ascii="Arial" w:hAnsi="Arial" w:cs="Arial"/>
          <w:b/>
          <w:bCs/>
          <w:lang w:val="en-GB"/>
        </w:rPr>
      </w:pPr>
    </w:p>
    <w:p w14:paraId="461FA5FD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0DCB4931" w14:textId="0A1BC5A9" w:rsidR="002D1AC0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Results:</w:t>
      </w:r>
      <w:r>
        <w:rPr>
          <w:rFonts w:ascii="Arial" w:hAnsi="Arial" w:cs="Arial"/>
          <w:lang w:val="en-GB"/>
        </w:rPr>
        <w:t xml:space="preserve"> </w:t>
      </w:r>
    </w:p>
    <w:p w14:paraId="1C7D4E25" w14:textId="77777777" w:rsidR="00C138E5" w:rsidRDefault="00C138E5" w:rsidP="00F36405">
      <w:pPr>
        <w:spacing w:line="276" w:lineRule="auto"/>
        <w:textAlignment w:val="baseline"/>
        <w:rPr>
          <w:rFonts w:ascii="Arial" w:hAnsi="Arial" w:cs="Arial"/>
          <w:lang w:val="en-GB"/>
        </w:rPr>
      </w:pPr>
    </w:p>
    <w:p w14:paraId="2A2C1834" w14:textId="7DB0E27A" w:rsidR="00F36405" w:rsidRPr="00C138E5" w:rsidRDefault="00C138E5" w:rsidP="00F36405">
      <w:pPr>
        <w:spacing w:line="276" w:lineRule="auto"/>
        <w:textAlignment w:val="baseline"/>
        <w:rPr>
          <w:rFonts w:ascii="Arial" w:eastAsia="Times New Roman" w:hAnsi="Arial" w:cs="Arial"/>
          <w:color w:val="000000" w:themeColor="text1"/>
          <w:lang w:val="en-AU" w:eastAsia="en-AU"/>
        </w:rPr>
      </w:pPr>
      <w:r>
        <w:rPr>
          <w:rFonts w:ascii="Arial" w:hAnsi="Arial" w:cs="Arial"/>
          <w:lang w:val="en-GB"/>
        </w:rPr>
        <w:t>We collected data from a total of 105 patients. Mean</w:t>
      </w:r>
      <w:r w:rsidR="00F36405" w:rsidRPr="00C62EA9">
        <w:rPr>
          <w:rFonts w:ascii="Arial" w:eastAsia="Times New Roman" w:hAnsi="Arial" w:cs="Arial"/>
          <w:color w:val="000000" w:themeColor="text1"/>
          <w:lang w:eastAsia="en-AU"/>
        </w:rPr>
        <w:t xml:space="preserve"> age </w:t>
      </w:r>
      <w:r>
        <w:rPr>
          <w:rFonts w:ascii="Arial" w:eastAsia="Times New Roman" w:hAnsi="Arial" w:cs="Arial"/>
          <w:color w:val="000000" w:themeColor="text1"/>
          <w:lang w:eastAsia="en-AU"/>
        </w:rPr>
        <w:t>of patients was 6</w:t>
      </w:r>
      <w:r w:rsidR="00F36405" w:rsidRPr="00C62EA9">
        <w:rPr>
          <w:rFonts w:ascii="Arial" w:eastAsia="Times New Roman" w:hAnsi="Arial" w:cs="Arial"/>
          <w:color w:val="000000" w:themeColor="text1"/>
          <w:lang w:eastAsia="en-AU"/>
        </w:rPr>
        <w:t>0</w:t>
      </w:r>
      <w:r>
        <w:rPr>
          <w:rFonts w:ascii="Arial" w:eastAsia="Times New Roman" w:hAnsi="Arial" w:cs="Arial"/>
          <w:color w:val="000000" w:themeColor="text1"/>
          <w:lang w:eastAsia="en-AU"/>
        </w:rPr>
        <w:t xml:space="preserve"> </w:t>
      </w:r>
      <w:r w:rsidR="00F36405" w:rsidRPr="00C62EA9">
        <w:rPr>
          <w:rFonts w:ascii="Arial" w:eastAsia="Times New Roman" w:hAnsi="Arial" w:cs="Arial"/>
          <w:color w:val="000000" w:themeColor="text1"/>
          <w:lang w:eastAsia="en-AU"/>
        </w:rPr>
        <w:t>years</w:t>
      </w:r>
      <w:r w:rsidRPr="00C138E5">
        <w:rPr>
          <w:rFonts w:ascii="Arial" w:eastAsia="Times New Roman" w:hAnsi="Arial" w:cs="Arial"/>
          <w:color w:val="000000" w:themeColor="text1"/>
          <w:lang w:val="en-US" w:eastAsia="en-AU"/>
        </w:rPr>
        <w:t xml:space="preserve"> (range 23 – 92), mean BMI 30kg/m</w:t>
      </w:r>
      <w:r w:rsidRPr="00C138E5">
        <w:rPr>
          <w:rFonts w:ascii="Arial" w:eastAsia="Times New Roman" w:hAnsi="Arial" w:cs="Arial"/>
          <w:color w:val="000000" w:themeColor="text1"/>
          <w:vertAlign w:val="superscript"/>
          <w:lang w:val="en-US" w:eastAsia="en-AU"/>
        </w:rPr>
        <w:t>2</w:t>
      </w:r>
      <w:r w:rsidRPr="00C138E5">
        <w:rPr>
          <w:rFonts w:ascii="Arial" w:eastAsia="Times New Roman" w:hAnsi="Arial" w:cs="Arial"/>
          <w:color w:val="000000" w:themeColor="text1"/>
          <w:lang w:val="en-US" w:eastAsia="en-AU"/>
        </w:rPr>
        <w:t xml:space="preserve"> ( standard deviation 7.2), mean HbA1c 8.1 % (IQR 6.6-8.9), 68.4% were male.</w:t>
      </w:r>
      <w:r>
        <w:rPr>
          <w:rFonts w:ascii="Arial" w:eastAsia="Times New Roman" w:hAnsi="Arial" w:cs="Arial"/>
          <w:color w:val="000000" w:themeColor="text1"/>
          <w:lang w:val="en-AU" w:eastAsia="en-AU"/>
        </w:rPr>
        <w:t xml:space="preserve"> </w:t>
      </w:r>
      <w:r w:rsidRPr="00C138E5">
        <w:rPr>
          <w:rFonts w:ascii="Arial" w:eastAsia="Times New Roman" w:hAnsi="Arial" w:cs="Arial"/>
          <w:color w:val="000000" w:themeColor="text1"/>
          <w:lang w:val="en-US" w:eastAsia="en-AU"/>
        </w:rPr>
        <w:t>16 of 105 patients received bone health screening (15.2%)</w:t>
      </w:r>
      <w:r>
        <w:rPr>
          <w:rFonts w:ascii="Arial" w:eastAsia="Times New Roman" w:hAnsi="Arial" w:cs="Arial"/>
          <w:color w:val="000000" w:themeColor="text1"/>
          <w:lang w:val="en-AU" w:eastAsia="en-AU"/>
        </w:rPr>
        <w:t xml:space="preserve"> with </w:t>
      </w:r>
      <w:r>
        <w:rPr>
          <w:rFonts w:ascii="Arial" w:eastAsia="Times New Roman" w:hAnsi="Arial" w:cs="Arial"/>
          <w:color w:val="000000" w:themeColor="text1"/>
          <w:lang w:val="en-US" w:eastAsia="en-AU"/>
        </w:rPr>
        <w:t>f</w:t>
      </w:r>
      <w:r w:rsidRPr="00C138E5">
        <w:rPr>
          <w:rFonts w:ascii="Arial" w:eastAsia="Times New Roman" w:hAnsi="Arial" w:cs="Arial"/>
          <w:color w:val="000000" w:themeColor="text1"/>
          <w:lang w:val="en-US" w:eastAsia="en-AU"/>
        </w:rPr>
        <w:t xml:space="preserve">emale </w:t>
      </w:r>
      <w:r>
        <w:rPr>
          <w:rFonts w:ascii="Arial" w:eastAsia="Times New Roman" w:hAnsi="Arial" w:cs="Arial"/>
          <w:color w:val="000000" w:themeColor="text1"/>
          <w:lang w:val="en-US" w:eastAsia="en-AU"/>
        </w:rPr>
        <w:t>patients being</w:t>
      </w:r>
      <w:r w:rsidRPr="00C138E5">
        <w:rPr>
          <w:rFonts w:ascii="Arial" w:eastAsia="Times New Roman" w:hAnsi="Arial" w:cs="Arial"/>
          <w:color w:val="000000" w:themeColor="text1"/>
          <w:lang w:val="en-US" w:eastAsia="en-AU"/>
        </w:rPr>
        <w:t xml:space="preserve"> screened more than males (24.1% vs 11.7%)</w:t>
      </w:r>
      <w:r>
        <w:rPr>
          <w:rFonts w:ascii="Arial" w:eastAsia="Times New Roman" w:hAnsi="Arial" w:cs="Arial"/>
          <w:color w:val="000000" w:themeColor="text1"/>
          <w:lang w:val="en-AU" w:eastAsia="en-AU"/>
        </w:rPr>
        <w:t xml:space="preserve">. </w:t>
      </w:r>
      <w:r w:rsidRPr="00C138E5">
        <w:rPr>
          <w:rFonts w:ascii="Arial" w:eastAsia="Times New Roman" w:hAnsi="Arial" w:cs="Arial"/>
          <w:color w:val="000000" w:themeColor="text1"/>
          <w:lang w:val="en-US" w:eastAsia="en-AU"/>
        </w:rPr>
        <w:t>Screening rates did not differ according to HbA1c or CKD stage</w:t>
      </w:r>
      <w:r>
        <w:rPr>
          <w:rFonts w:ascii="Arial" w:eastAsia="Times New Roman" w:hAnsi="Arial" w:cs="Arial"/>
          <w:color w:val="000000" w:themeColor="text1"/>
          <w:lang w:val="en-US" w:eastAsia="en-AU"/>
        </w:rPr>
        <w:t xml:space="preserve">. There was an association between </w:t>
      </w:r>
      <w:r w:rsidRPr="00C138E5">
        <w:rPr>
          <w:rFonts w:ascii="Arial" w:eastAsia="Times New Roman" w:hAnsi="Arial" w:cs="Arial"/>
          <w:color w:val="000000" w:themeColor="text1"/>
          <w:lang w:val="en-US" w:eastAsia="en-AU"/>
        </w:rPr>
        <w:t xml:space="preserve">Hip BMD </w:t>
      </w:r>
      <w:r>
        <w:rPr>
          <w:rFonts w:ascii="Arial" w:eastAsia="Times New Roman" w:hAnsi="Arial" w:cs="Arial"/>
          <w:color w:val="000000" w:themeColor="text1"/>
          <w:lang w:val="en-US" w:eastAsia="en-AU"/>
        </w:rPr>
        <w:t>and</w:t>
      </w:r>
      <w:r w:rsidRPr="00C138E5">
        <w:rPr>
          <w:rFonts w:ascii="Arial" w:eastAsia="Times New Roman" w:hAnsi="Arial" w:cs="Arial"/>
          <w:color w:val="000000" w:themeColor="text1"/>
          <w:lang w:val="en-US" w:eastAsia="en-AU"/>
        </w:rPr>
        <w:t xml:space="preserve"> BMI</w:t>
      </w:r>
      <w:r>
        <w:rPr>
          <w:rFonts w:ascii="Arial" w:eastAsia="Times New Roman" w:hAnsi="Arial" w:cs="Arial"/>
          <w:color w:val="000000" w:themeColor="text1"/>
          <w:lang w:val="en-US" w:eastAsia="en-AU"/>
        </w:rPr>
        <w:t xml:space="preserve"> however </w:t>
      </w:r>
      <w:r w:rsidR="00F36405" w:rsidRPr="00C62EA9">
        <w:rPr>
          <w:rFonts w:ascii="Arial" w:eastAsia="Times New Roman" w:hAnsi="Arial" w:cs="Arial"/>
          <w:color w:val="000000" w:themeColor="text1"/>
          <w:lang w:eastAsia="en-AU"/>
        </w:rPr>
        <w:t>no significant association</w:t>
      </w:r>
      <w:r>
        <w:rPr>
          <w:rFonts w:ascii="Arial" w:eastAsia="Times New Roman" w:hAnsi="Arial" w:cs="Arial"/>
          <w:color w:val="000000" w:themeColor="text1"/>
          <w:lang w:eastAsia="en-AU"/>
        </w:rPr>
        <w:t>s</w:t>
      </w:r>
      <w:r w:rsidR="00F36405" w:rsidRPr="00C62EA9">
        <w:rPr>
          <w:rFonts w:ascii="Arial" w:eastAsia="Times New Roman" w:hAnsi="Arial" w:cs="Arial"/>
          <w:color w:val="000000" w:themeColor="text1"/>
          <w:lang w:eastAsia="en-AU"/>
        </w:rPr>
        <w:t xml:space="preserve"> found between </w:t>
      </w:r>
      <w:r w:rsidR="00F36405">
        <w:rPr>
          <w:rFonts w:ascii="Arial" w:eastAsia="Times New Roman" w:hAnsi="Arial" w:cs="Arial"/>
          <w:color w:val="000000" w:themeColor="text1"/>
          <w:lang w:eastAsia="en-AU"/>
        </w:rPr>
        <w:t>total hip BMD</w:t>
      </w:r>
      <w:r>
        <w:rPr>
          <w:rFonts w:ascii="Arial" w:eastAsia="Times New Roman" w:hAnsi="Arial" w:cs="Arial"/>
          <w:color w:val="000000" w:themeColor="text1"/>
          <w:lang w:eastAsia="en-AU"/>
        </w:rPr>
        <w:t xml:space="preserve"> or TBS</w:t>
      </w:r>
      <w:r w:rsidR="00F36405" w:rsidRPr="00C62EA9">
        <w:rPr>
          <w:rFonts w:ascii="Arial" w:eastAsia="Times New Roman" w:hAnsi="Arial" w:cs="Arial"/>
          <w:color w:val="000000" w:themeColor="text1"/>
          <w:lang w:eastAsia="en-AU"/>
        </w:rPr>
        <w:t xml:space="preserve"> and the </w:t>
      </w:r>
      <w:r>
        <w:rPr>
          <w:rFonts w:ascii="Arial" w:eastAsia="Times New Roman" w:hAnsi="Arial" w:cs="Arial"/>
          <w:color w:val="000000" w:themeColor="text1"/>
          <w:lang w:eastAsia="en-AU"/>
        </w:rPr>
        <w:t xml:space="preserve">duration of T2DM, </w:t>
      </w:r>
      <w:r w:rsidR="00F36405" w:rsidRPr="00C62EA9">
        <w:rPr>
          <w:rFonts w:ascii="Arial" w:eastAsia="Times New Roman" w:hAnsi="Arial" w:cs="Arial"/>
          <w:color w:val="000000" w:themeColor="text1"/>
          <w:lang w:eastAsia="en-AU"/>
        </w:rPr>
        <w:t>presence of diabetes complications, insulin use</w:t>
      </w:r>
      <w:r w:rsidR="00F36405">
        <w:rPr>
          <w:rFonts w:ascii="Arial" w:eastAsia="Times New Roman" w:hAnsi="Arial" w:cs="Arial"/>
          <w:color w:val="000000" w:themeColor="text1"/>
          <w:lang w:eastAsia="en-AU"/>
        </w:rPr>
        <w:t xml:space="preserve"> and </w:t>
      </w:r>
      <w:r>
        <w:rPr>
          <w:rFonts w:ascii="Arial" w:eastAsia="Times New Roman" w:hAnsi="Arial" w:cs="Arial"/>
          <w:color w:val="000000" w:themeColor="text1"/>
          <w:lang w:eastAsia="en-AU"/>
        </w:rPr>
        <w:t>HbA1c.</w:t>
      </w:r>
    </w:p>
    <w:p w14:paraId="4BB04D66" w14:textId="77777777" w:rsidR="00F36405" w:rsidRPr="00F36405" w:rsidRDefault="00F36405" w:rsidP="002D1AC0">
      <w:pPr>
        <w:rPr>
          <w:rFonts w:ascii="Arial" w:hAnsi="Arial" w:cs="Arial"/>
        </w:rPr>
      </w:pPr>
    </w:p>
    <w:p w14:paraId="010EB388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1AFC1D5B" w14:textId="797EA20D" w:rsidR="002D1AC0" w:rsidRPr="002D1AC0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Discussion / Conclusion:</w:t>
      </w:r>
      <w:r>
        <w:rPr>
          <w:rFonts w:ascii="Arial" w:hAnsi="Arial" w:cs="Arial"/>
          <w:lang w:val="en-GB"/>
        </w:rPr>
        <w:t xml:space="preserve"> </w:t>
      </w:r>
    </w:p>
    <w:p w14:paraId="78CF23C3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2F98CB43" w14:textId="1E9582F3" w:rsidR="00C138E5" w:rsidRPr="00C138E5" w:rsidRDefault="00C138E5" w:rsidP="00C138E5">
      <w:pPr>
        <w:spacing w:line="276" w:lineRule="auto"/>
        <w:rPr>
          <w:rFonts w:ascii="Arial" w:hAnsi="Arial" w:cs="Arial"/>
          <w:lang w:val="en-AU"/>
        </w:rPr>
      </w:pPr>
      <w:r w:rsidRPr="00C138E5">
        <w:rPr>
          <w:rFonts w:ascii="Arial" w:hAnsi="Arial" w:cs="Arial"/>
          <w:lang w:val="en-US"/>
        </w:rPr>
        <w:t>Despite clear evidence of increased skeletal fragility in T2DM, bone health assessment is uncommon</w:t>
      </w:r>
      <w:r>
        <w:rPr>
          <w:rFonts w:ascii="Arial" w:hAnsi="Arial" w:cs="Arial"/>
        </w:rPr>
        <w:t xml:space="preserve">, </w:t>
      </w:r>
      <w:r w:rsidR="00F36405">
        <w:rPr>
          <w:rFonts w:ascii="Arial" w:hAnsi="Arial" w:cs="Arial"/>
        </w:rPr>
        <w:t xml:space="preserve">potentially related to a lack of guidelines. </w:t>
      </w:r>
      <w:r w:rsidRPr="00C138E5">
        <w:rPr>
          <w:rFonts w:ascii="Arial" w:hAnsi="Arial" w:cs="Arial"/>
          <w:lang w:val="en-US"/>
        </w:rPr>
        <w:t>Larger prospective studies are needed to refine screening criteria and enable earlier detection and interventio</w:t>
      </w:r>
      <w:r>
        <w:rPr>
          <w:rFonts w:ascii="Arial" w:hAnsi="Arial" w:cs="Arial"/>
          <w:lang w:val="en-US"/>
        </w:rPr>
        <w:t>n.</w:t>
      </w:r>
    </w:p>
    <w:p w14:paraId="1BBD6922" w14:textId="13BAA0A2" w:rsidR="00F36405" w:rsidRPr="00C138E5" w:rsidRDefault="00F36405" w:rsidP="00C138E5">
      <w:pPr>
        <w:spacing w:line="276" w:lineRule="auto"/>
        <w:rPr>
          <w:lang w:val="en-AU"/>
        </w:rPr>
      </w:pPr>
    </w:p>
    <w:p w14:paraId="12986DED" w14:textId="77777777" w:rsidR="00F36405" w:rsidRPr="001C4412" w:rsidRDefault="00F36405" w:rsidP="002D1AC0">
      <w:pPr>
        <w:rPr>
          <w:rFonts w:ascii="Arial" w:hAnsi="Arial" w:cs="Arial"/>
          <w:b/>
          <w:bCs/>
          <w:lang w:val="en-GB"/>
        </w:rPr>
      </w:pPr>
    </w:p>
    <w:p w14:paraId="3D9BDD29" w14:textId="77777777" w:rsidR="002D1AC0" w:rsidRDefault="002D1AC0" w:rsidP="002D1AC0">
      <w:pPr>
        <w:rPr>
          <w:rFonts w:ascii="Arial" w:hAnsi="Arial" w:cs="Arial"/>
          <w:lang w:val="en-GB" w:eastAsia="zh-CN"/>
        </w:rPr>
      </w:pPr>
    </w:p>
    <w:p w14:paraId="618C9957" w14:textId="77777777" w:rsidR="007A2CD9" w:rsidRDefault="007A2CD9" w:rsidP="002D1AC0">
      <w:pPr>
        <w:rPr>
          <w:rFonts w:ascii="Arial" w:hAnsi="Arial" w:cs="Arial"/>
          <w:lang w:val="en-GB" w:eastAsia="zh-CN"/>
        </w:rPr>
      </w:pPr>
    </w:p>
    <w:p w14:paraId="5FBE2D9B" w14:textId="11349798" w:rsidR="007A2CD9" w:rsidRPr="00C138E5" w:rsidRDefault="007A2CD9" w:rsidP="00140E3F">
      <w:pPr>
        <w:spacing w:after="160" w:line="279" w:lineRule="auto"/>
        <w:contextualSpacing/>
        <w:textAlignment w:val="baseline"/>
        <w:rPr>
          <w:rFonts w:ascii="Arial" w:eastAsia="Times New Roman" w:hAnsi="Arial" w:cs="Arial"/>
          <w:color w:val="000000"/>
          <w:lang w:val="en-AU" w:eastAsia="en-AU"/>
        </w:rPr>
      </w:pPr>
    </w:p>
    <w:p w14:paraId="1DE87385" w14:textId="77777777" w:rsidR="007A2CD9" w:rsidRPr="007A2CD9" w:rsidRDefault="007A2CD9" w:rsidP="007A2CD9">
      <w:pPr>
        <w:spacing w:after="160" w:line="279" w:lineRule="auto"/>
        <w:rPr>
          <w:rFonts w:ascii="Aptos" w:eastAsia="DengXian" w:hAnsi="Aptos" w:cs="Times New Roman"/>
          <w:kern w:val="0"/>
          <w:sz w:val="24"/>
          <w:szCs w:val="24"/>
          <w:lang w:val="en-AU" w:eastAsia="ja-JP"/>
          <w14:ligatures w14:val="none"/>
        </w:rPr>
      </w:pPr>
    </w:p>
    <w:p w14:paraId="2C7084A1" w14:textId="77777777" w:rsidR="007A2CD9" w:rsidRPr="007A2CD9" w:rsidRDefault="007A2CD9" w:rsidP="002D1AC0">
      <w:pPr>
        <w:rPr>
          <w:rFonts w:ascii="Arial" w:hAnsi="Arial" w:cs="Arial"/>
          <w:lang w:val="en-AU" w:eastAsia="zh-CN"/>
        </w:rPr>
      </w:pPr>
    </w:p>
    <w:p w14:paraId="66FB9D22" w14:textId="77777777" w:rsidR="00210143" w:rsidRDefault="00210143"/>
    <w:sectPr w:rsidR="00210143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,Sans-Serif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09A"/>
    <w:multiLevelType w:val="hybridMultilevel"/>
    <w:tmpl w:val="B2C4B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DA8"/>
    <w:multiLevelType w:val="hybridMultilevel"/>
    <w:tmpl w:val="BFA0FC54"/>
    <w:lvl w:ilvl="0" w:tplc="DC6E2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AB6E2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038A1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F28C6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D1483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9B24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9BE2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3022F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98BCE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2" w15:restartNumberingAfterBreak="0">
    <w:nsid w:val="11FF10F4"/>
    <w:multiLevelType w:val="hybridMultilevel"/>
    <w:tmpl w:val="29EA6D16"/>
    <w:lvl w:ilvl="0" w:tplc="4DFC5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125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05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C4D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20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22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0A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5CA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03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0E4462"/>
    <w:multiLevelType w:val="hybridMultilevel"/>
    <w:tmpl w:val="D578F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735468">
    <w:abstractNumId w:val="0"/>
  </w:num>
  <w:num w:numId="2" w16cid:durableId="2022126577">
    <w:abstractNumId w:val="3"/>
  </w:num>
  <w:num w:numId="3" w16cid:durableId="167139588">
    <w:abstractNumId w:val="1"/>
  </w:num>
  <w:num w:numId="4" w16cid:durableId="1985155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140E3F"/>
    <w:rsid w:val="001A369E"/>
    <w:rsid w:val="0020438F"/>
    <w:rsid w:val="0020475E"/>
    <w:rsid w:val="00210143"/>
    <w:rsid w:val="002D1AC0"/>
    <w:rsid w:val="003F5231"/>
    <w:rsid w:val="00705605"/>
    <w:rsid w:val="007061BC"/>
    <w:rsid w:val="007A2CD9"/>
    <w:rsid w:val="008649CA"/>
    <w:rsid w:val="00927C90"/>
    <w:rsid w:val="00972A08"/>
    <w:rsid w:val="00C138E5"/>
    <w:rsid w:val="00CA590B"/>
    <w:rsid w:val="00CB5B1C"/>
    <w:rsid w:val="00E44CBF"/>
    <w:rsid w:val="00EE30AE"/>
    <w:rsid w:val="00F3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B5B1C"/>
    <w:rPr>
      <w:rFonts w:ascii="Calibri" w:eastAsia="Times New Roman" w:hAnsi="Calibri" w:cs="Calibri"/>
      <w:kern w:val="0"/>
      <w:lang w:eastAsia="en-NZ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36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405"/>
    <w:pPr>
      <w:spacing w:after="160"/>
    </w:pPr>
    <w:rPr>
      <w:rFonts w:asciiTheme="minorHAnsi" w:eastAsiaTheme="minorEastAsia" w:hAnsiTheme="minorHAnsi"/>
      <w:kern w:val="0"/>
      <w:sz w:val="20"/>
      <w:szCs w:val="20"/>
      <w:lang w:val="en-US"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405"/>
    <w:rPr>
      <w:rFonts w:eastAsiaTheme="minorEastAsia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3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4366">
          <w:marLeft w:val="720"/>
          <w:marRight w:val="0"/>
          <w:marTop w:val="0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437">
          <w:marLeft w:val="720"/>
          <w:marRight w:val="0"/>
          <w:marTop w:val="0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187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79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46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505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473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40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74C42526-4BDA-4665-97CB-2644D5088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Evelyn Hao</cp:lastModifiedBy>
  <cp:revision>2</cp:revision>
  <dcterms:created xsi:type="dcterms:W3CDTF">2026-03-17T03:28:00Z</dcterms:created>
  <dcterms:modified xsi:type="dcterms:W3CDTF">2026-03-17T03:28:00Z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