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86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69"/>
      </w:tblGrid>
      <w:tr w:rsidR="001564A4" w:rsidRPr="0050053A" w14:paraId="5C38377B" w14:textId="77777777" w:rsidTr="00D738CC">
        <w:trPr>
          <w:trHeight w:val="774"/>
          <w:jc w:val="center"/>
        </w:trPr>
        <w:tc>
          <w:tcPr>
            <w:tcW w:w="8669" w:type="dxa"/>
            <w:shd w:val="clear" w:color="auto" w:fill="auto"/>
          </w:tcPr>
          <w:p w14:paraId="5C44F357" w14:textId="623B36AA" w:rsidR="001564A4" w:rsidRPr="0050053A" w:rsidRDefault="00D738CC" w:rsidP="000F0B45">
            <w:pPr>
              <w:spacing w:before="120" w:after="120"/>
              <w:rPr>
                <w:rFonts w:ascii="Arial" w:hAnsi="Arial" w:cs="Arial"/>
                <w:b/>
                <w:sz w:val="22"/>
                <w:szCs w:val="22"/>
                <w:lang w:val="en-US" w:eastAsia="zh-CN"/>
              </w:rPr>
            </w:pPr>
            <w:r w:rsidRPr="00D738CC">
              <w:rPr>
                <w:rFonts w:ascii="Arial" w:hAnsi="Arial" w:cs="Arial"/>
                <w:b/>
                <w:sz w:val="22"/>
                <w:szCs w:val="22"/>
                <w:lang w:val="en-US" w:eastAsia="en-GB"/>
              </w:rPr>
              <w:t>Outco</w:t>
            </w:r>
            <w:r w:rsidR="000F0B45">
              <w:rPr>
                <w:rFonts w:ascii="Arial" w:hAnsi="Arial" w:cs="Arial"/>
                <w:b/>
                <w:sz w:val="22"/>
                <w:szCs w:val="22"/>
                <w:lang w:val="en-US" w:eastAsia="en-GB"/>
              </w:rPr>
              <w:t>mes for patients with Multidrug-</w:t>
            </w:r>
            <w:r w:rsidRPr="00D738CC">
              <w:rPr>
                <w:rFonts w:ascii="Arial" w:hAnsi="Arial" w:cs="Arial"/>
                <w:b/>
                <w:sz w:val="22"/>
                <w:szCs w:val="22"/>
                <w:lang w:val="en-US" w:eastAsia="en-GB"/>
              </w:rPr>
              <w:t xml:space="preserve">resistant Tuberculosis in </w:t>
            </w:r>
            <w:bookmarkStart w:id="0" w:name="_GoBack"/>
            <w:bookmarkEnd w:id="0"/>
            <w:r w:rsidRPr="00D738CC">
              <w:rPr>
                <w:rFonts w:ascii="Arial" w:hAnsi="Arial" w:cs="Arial"/>
                <w:b/>
                <w:sz w:val="22"/>
                <w:szCs w:val="22"/>
                <w:lang w:val="en-US" w:eastAsia="en-GB"/>
              </w:rPr>
              <w:t>Sydney Chest clinic</w:t>
            </w:r>
          </w:p>
        </w:tc>
      </w:tr>
      <w:tr w:rsidR="001564A4" w:rsidRPr="0050053A" w14:paraId="0E2E035C" w14:textId="77777777" w:rsidTr="00D738CC">
        <w:trPr>
          <w:trHeight w:val="521"/>
          <w:jc w:val="center"/>
        </w:trPr>
        <w:tc>
          <w:tcPr>
            <w:tcW w:w="8669" w:type="dxa"/>
            <w:shd w:val="clear" w:color="auto" w:fill="auto"/>
          </w:tcPr>
          <w:p w14:paraId="73B55295" w14:textId="77905756" w:rsidR="001564A4" w:rsidRPr="00413B94" w:rsidRDefault="00D738CC" w:rsidP="00D738CC">
            <w:pPr>
              <w:spacing w:before="120" w:after="120"/>
              <w:rPr>
                <w:rFonts w:ascii="Arial" w:hAnsi="Arial" w:cs="Arial"/>
                <w:sz w:val="22"/>
                <w:szCs w:val="22"/>
                <w:u w:val="single"/>
                <w:lang w:eastAsia="zh-CN"/>
              </w:rPr>
            </w:pPr>
            <w:r>
              <w:rPr>
                <w:rFonts w:ascii="Arial" w:hAnsi="Arial" w:cs="Arial"/>
                <w:sz w:val="22"/>
                <w:szCs w:val="22"/>
                <w:lang w:val="en-US" w:eastAsia="en-GB"/>
              </w:rPr>
              <w:t>Kim M</w:t>
            </w:r>
            <w:r w:rsidR="001564A4" w:rsidRPr="00413B94">
              <w:rPr>
                <w:rFonts w:ascii="Arial" w:hAnsi="Arial" w:cs="Arial"/>
                <w:sz w:val="22"/>
                <w:szCs w:val="22"/>
                <w:vertAlign w:val="superscript"/>
                <w:lang w:val="en-US" w:eastAsia="en-GB"/>
              </w:rPr>
              <w:t>1</w:t>
            </w:r>
            <w:bookmarkStart w:id="1" w:name="Text8"/>
            <w:r w:rsidR="001564A4" w:rsidRPr="00413B94">
              <w:rPr>
                <w:rFonts w:ascii="Arial" w:hAnsi="Arial" w:cs="Arial"/>
                <w:sz w:val="22"/>
                <w:szCs w:val="22"/>
                <w:lang w:val="en-US" w:eastAsia="en-GB"/>
              </w:rPr>
              <w:t>,</w:t>
            </w:r>
            <w:bookmarkEnd w:id="1"/>
            <w:r>
              <w:rPr>
                <w:rFonts w:ascii="Arial" w:hAnsi="Arial" w:cs="Arial"/>
                <w:sz w:val="22"/>
                <w:szCs w:val="22"/>
                <w:lang w:val="en-US" w:eastAsia="en-GB"/>
              </w:rPr>
              <w:t>Chang V</w:t>
            </w:r>
            <w:r>
              <w:rPr>
                <w:rFonts w:ascii="Arial" w:hAnsi="Arial" w:cs="Arial"/>
                <w:sz w:val="22"/>
                <w:szCs w:val="22"/>
                <w:vertAlign w:val="superscript"/>
                <w:lang w:val="en-US" w:eastAsia="en-GB"/>
              </w:rPr>
              <w:t>1,2</w:t>
            </w:r>
          </w:p>
        </w:tc>
      </w:tr>
      <w:tr w:rsidR="001564A4" w:rsidRPr="0050053A" w14:paraId="385A19D9" w14:textId="77777777" w:rsidTr="00D738CC">
        <w:trPr>
          <w:trHeight w:val="143"/>
          <w:jc w:val="center"/>
        </w:trPr>
        <w:tc>
          <w:tcPr>
            <w:tcW w:w="8669" w:type="dxa"/>
            <w:shd w:val="clear" w:color="auto" w:fill="auto"/>
          </w:tcPr>
          <w:p w14:paraId="1643A330" w14:textId="16390423" w:rsidR="001564A4" w:rsidRPr="0050053A" w:rsidRDefault="001564A4" w:rsidP="000A28E2">
            <w:pPr>
              <w:spacing w:before="120" w:after="120"/>
              <w:rPr>
                <w:rFonts w:ascii="Arial" w:hAnsi="Arial" w:cs="Arial"/>
                <w:i/>
                <w:sz w:val="22"/>
                <w:szCs w:val="22"/>
                <w:lang w:val="en-US" w:eastAsia="en-GB"/>
              </w:rPr>
            </w:pPr>
            <w:r w:rsidRPr="0050053A">
              <w:rPr>
                <w:rFonts w:ascii="Arial" w:hAnsi="Arial" w:cs="Arial"/>
                <w:i/>
                <w:sz w:val="22"/>
                <w:szCs w:val="22"/>
                <w:vertAlign w:val="superscript"/>
                <w:lang w:val="en-US" w:eastAsia="en-GB"/>
              </w:rPr>
              <w:t>1</w:t>
            </w:r>
            <w:r w:rsidR="00D738CC">
              <w:rPr>
                <w:rFonts w:ascii="Arial" w:hAnsi="Arial" w:cs="Arial"/>
                <w:i/>
                <w:sz w:val="22"/>
                <w:szCs w:val="22"/>
                <w:lang w:val="en-US" w:eastAsia="en-GB"/>
              </w:rPr>
              <w:t xml:space="preserve">St George Hospital, </w:t>
            </w:r>
            <w:proofErr w:type="spellStart"/>
            <w:r w:rsidR="00D738CC">
              <w:rPr>
                <w:rFonts w:ascii="Arial" w:hAnsi="Arial" w:cs="Arial"/>
                <w:i/>
                <w:sz w:val="22"/>
                <w:szCs w:val="22"/>
                <w:lang w:val="en-US" w:eastAsia="en-GB"/>
              </w:rPr>
              <w:t>Kogarah</w:t>
            </w:r>
            <w:proofErr w:type="spellEnd"/>
            <w:r w:rsidR="00D738CC">
              <w:rPr>
                <w:rFonts w:ascii="Arial" w:hAnsi="Arial" w:cs="Arial"/>
                <w:i/>
                <w:sz w:val="22"/>
                <w:szCs w:val="22"/>
                <w:lang w:val="en-US" w:eastAsia="en-GB"/>
              </w:rPr>
              <w:t xml:space="preserve"> NSW, Australia</w:t>
            </w:r>
          </w:p>
          <w:p w14:paraId="45ED36BF" w14:textId="25F0C0B5" w:rsidR="001564A4" w:rsidRPr="0050053A" w:rsidRDefault="001564A4" w:rsidP="000A28E2">
            <w:pPr>
              <w:spacing w:before="120" w:after="120"/>
              <w:rPr>
                <w:rFonts w:ascii="Arial" w:hAnsi="Arial" w:cs="Arial"/>
                <w:i/>
                <w:sz w:val="22"/>
                <w:szCs w:val="22"/>
                <w:lang w:val="en-US" w:eastAsia="en-GB"/>
              </w:rPr>
            </w:pPr>
            <w:r w:rsidRPr="0050053A">
              <w:rPr>
                <w:rFonts w:ascii="Arial" w:hAnsi="Arial" w:cs="Arial"/>
                <w:i/>
                <w:sz w:val="22"/>
                <w:szCs w:val="22"/>
                <w:vertAlign w:val="superscript"/>
                <w:lang w:val="en-US" w:eastAsia="en-GB"/>
              </w:rPr>
              <w:t>2</w:t>
            </w:r>
            <w:r w:rsidR="00D738CC">
              <w:rPr>
                <w:rFonts w:ascii="Arial" w:hAnsi="Arial" w:cs="Arial"/>
                <w:i/>
                <w:sz w:val="22"/>
                <w:szCs w:val="22"/>
                <w:lang w:val="en-US" w:eastAsia="en-GB"/>
              </w:rPr>
              <w:t xml:space="preserve">Sutherland Hospital, </w:t>
            </w:r>
            <w:proofErr w:type="spellStart"/>
            <w:r w:rsidR="00D738CC">
              <w:rPr>
                <w:rFonts w:ascii="Arial" w:hAnsi="Arial" w:cs="Arial"/>
                <w:i/>
                <w:sz w:val="22"/>
                <w:szCs w:val="22"/>
                <w:lang w:val="en-US" w:eastAsia="en-GB"/>
              </w:rPr>
              <w:t>Caringbah</w:t>
            </w:r>
            <w:proofErr w:type="spellEnd"/>
            <w:r w:rsidR="00D738CC">
              <w:rPr>
                <w:rFonts w:ascii="Arial" w:hAnsi="Arial" w:cs="Arial"/>
                <w:i/>
                <w:sz w:val="22"/>
                <w:szCs w:val="22"/>
                <w:lang w:val="en-US" w:eastAsia="en-GB"/>
              </w:rPr>
              <w:t xml:space="preserve"> NSW, Australia</w:t>
            </w:r>
          </w:p>
        </w:tc>
      </w:tr>
      <w:tr w:rsidR="001564A4" w:rsidRPr="0050053A" w14:paraId="6DAF615A" w14:textId="77777777" w:rsidTr="00D738CC">
        <w:trPr>
          <w:trHeight w:hRule="exact" w:val="7747"/>
          <w:jc w:val="center"/>
        </w:trPr>
        <w:tc>
          <w:tcPr>
            <w:tcW w:w="8669" w:type="dxa"/>
            <w:shd w:val="clear" w:color="auto" w:fill="auto"/>
          </w:tcPr>
          <w:p w14:paraId="739E7937" w14:textId="77777777" w:rsidR="001564A4" w:rsidRPr="0050053A" w:rsidRDefault="001564A4" w:rsidP="000A28E2">
            <w:pPr>
              <w:pStyle w:val="Pa12"/>
              <w:rPr>
                <w:rStyle w:val="A4"/>
              </w:rPr>
            </w:pPr>
            <w:r>
              <w:rPr>
                <w:rStyle w:val="A4"/>
                <w:b/>
                <w:bCs/>
              </w:rPr>
              <w:t>Introduction/</w:t>
            </w:r>
            <w:r w:rsidRPr="0050053A">
              <w:rPr>
                <w:rStyle w:val="A4"/>
                <w:b/>
                <w:bCs/>
              </w:rPr>
              <w:t xml:space="preserve">Aim: </w:t>
            </w:r>
          </w:p>
          <w:p w14:paraId="3D770CF7" w14:textId="27D37D6C" w:rsidR="001564A4" w:rsidRDefault="00D738CC" w:rsidP="000A28E2">
            <w:pPr>
              <w:pStyle w:val="Pa12"/>
              <w:rPr>
                <w:sz w:val="22"/>
                <w:szCs w:val="22"/>
              </w:rPr>
            </w:pPr>
            <w:r w:rsidRPr="00D738CC">
              <w:rPr>
                <w:sz w:val="22"/>
                <w:szCs w:val="22"/>
              </w:rPr>
              <w:t>Multidrug resistant Tuberculosis (MDR-TB) is defined as the presence of isoniazid and</w:t>
            </w:r>
            <w:r>
              <w:rPr>
                <w:sz w:val="22"/>
                <w:szCs w:val="22"/>
              </w:rPr>
              <w:t xml:space="preserve"> </w:t>
            </w:r>
            <w:r w:rsidRPr="00D738CC">
              <w:rPr>
                <w:sz w:val="22"/>
                <w:szCs w:val="22"/>
              </w:rPr>
              <w:t>rifampicin resistance. Since 2019, World Health Organisation (WHO) recommend</w:t>
            </w:r>
            <w:r>
              <w:rPr>
                <w:sz w:val="22"/>
                <w:szCs w:val="22"/>
              </w:rPr>
              <w:t>ed the use of</w:t>
            </w:r>
            <w:r w:rsidRPr="00D738CC">
              <w:rPr>
                <w:sz w:val="22"/>
                <w:szCs w:val="22"/>
              </w:rPr>
              <w:t xml:space="preserve"> </w:t>
            </w:r>
            <w:proofErr w:type="spellStart"/>
            <w:r w:rsidRPr="00D738CC">
              <w:rPr>
                <w:sz w:val="22"/>
                <w:szCs w:val="22"/>
              </w:rPr>
              <w:t>bedaquiline</w:t>
            </w:r>
            <w:proofErr w:type="spellEnd"/>
            <w:r w:rsidRPr="00D738CC">
              <w:rPr>
                <w:sz w:val="22"/>
                <w:szCs w:val="22"/>
              </w:rPr>
              <w:t xml:space="preserve"> to</w:t>
            </w:r>
            <w:r>
              <w:rPr>
                <w:sz w:val="22"/>
                <w:szCs w:val="22"/>
              </w:rPr>
              <w:t xml:space="preserve"> </w:t>
            </w:r>
            <w:r w:rsidRPr="00D738CC">
              <w:rPr>
                <w:sz w:val="22"/>
                <w:szCs w:val="22"/>
              </w:rPr>
              <w:t xml:space="preserve">be in MDR-TB regimens. Previously, MDR-TB was treated with intravenous therapies that were not well tolerated and resulted in side effects and interruption to therapy. Our aim is to evaluate the programmatic outcomes of patients receiving </w:t>
            </w:r>
            <w:proofErr w:type="spellStart"/>
            <w:r w:rsidRPr="00D738CC">
              <w:rPr>
                <w:sz w:val="22"/>
                <w:szCs w:val="22"/>
              </w:rPr>
              <w:t>bedaquiline</w:t>
            </w:r>
            <w:proofErr w:type="spellEnd"/>
            <w:r w:rsidRPr="00D738CC">
              <w:rPr>
                <w:sz w:val="22"/>
                <w:szCs w:val="22"/>
              </w:rPr>
              <w:t xml:space="preserve"> containing individualised antibiotic therapy for MDR-TB in the city of Sydney, Australia</w:t>
            </w:r>
          </w:p>
          <w:p w14:paraId="2ADF96BC" w14:textId="77777777" w:rsidR="00D738CC" w:rsidRPr="00D738CC" w:rsidRDefault="00D738CC" w:rsidP="00D738CC">
            <w:pPr>
              <w:pStyle w:val="Default"/>
            </w:pPr>
          </w:p>
          <w:p w14:paraId="1B39336E" w14:textId="77777777" w:rsidR="001564A4" w:rsidRPr="0050053A" w:rsidRDefault="001564A4" w:rsidP="000A28E2">
            <w:pPr>
              <w:pStyle w:val="Pa12"/>
              <w:rPr>
                <w:rStyle w:val="A4"/>
                <w:b/>
                <w:bCs/>
              </w:rPr>
            </w:pPr>
            <w:r w:rsidRPr="0050053A">
              <w:rPr>
                <w:rStyle w:val="A4"/>
                <w:b/>
                <w:bCs/>
              </w:rPr>
              <w:t>Method</w:t>
            </w:r>
            <w:r>
              <w:rPr>
                <w:rStyle w:val="A4"/>
                <w:b/>
                <w:bCs/>
              </w:rPr>
              <w:t>s</w:t>
            </w:r>
            <w:r w:rsidRPr="0050053A">
              <w:rPr>
                <w:rStyle w:val="A4"/>
                <w:b/>
                <w:bCs/>
              </w:rPr>
              <w:t xml:space="preserve">: </w:t>
            </w:r>
          </w:p>
          <w:p w14:paraId="70A39F78" w14:textId="37D34485" w:rsidR="001564A4" w:rsidRPr="0050053A" w:rsidRDefault="00D738CC" w:rsidP="000A28E2">
            <w:pPr>
              <w:pStyle w:val="Pa12"/>
              <w:rPr>
                <w:sz w:val="22"/>
                <w:szCs w:val="22"/>
              </w:rPr>
            </w:pPr>
            <w:r w:rsidRPr="00D738CC">
              <w:rPr>
                <w:sz w:val="22"/>
                <w:szCs w:val="22"/>
              </w:rPr>
              <w:t>We conducted a retrospective review of the patient database at a Metropolitan Sydney chest clinic for the period of January 2017 to October 2023.</w:t>
            </w:r>
          </w:p>
          <w:p w14:paraId="5029BAE6" w14:textId="77777777" w:rsidR="001564A4" w:rsidRPr="0050053A" w:rsidRDefault="001564A4" w:rsidP="000A28E2">
            <w:pPr>
              <w:pStyle w:val="Pa12"/>
              <w:rPr>
                <w:rStyle w:val="A4"/>
                <w:bCs/>
              </w:rPr>
            </w:pPr>
          </w:p>
          <w:p w14:paraId="6BF3F094" w14:textId="77777777" w:rsidR="001564A4" w:rsidRPr="0050053A" w:rsidRDefault="001564A4" w:rsidP="000A28E2">
            <w:pPr>
              <w:pStyle w:val="Pa12"/>
              <w:rPr>
                <w:rStyle w:val="A4"/>
                <w:b/>
                <w:bCs/>
              </w:rPr>
            </w:pPr>
            <w:r w:rsidRPr="0050053A">
              <w:rPr>
                <w:rStyle w:val="A4"/>
                <w:b/>
                <w:bCs/>
              </w:rPr>
              <w:t xml:space="preserve">Results: </w:t>
            </w:r>
          </w:p>
          <w:p w14:paraId="18F77515" w14:textId="17871867" w:rsidR="001564A4" w:rsidRPr="0050053A" w:rsidRDefault="00D738CC" w:rsidP="000A28E2">
            <w:pPr>
              <w:pStyle w:val="Pa12"/>
              <w:rPr>
                <w:sz w:val="22"/>
                <w:szCs w:val="22"/>
              </w:rPr>
            </w:pPr>
            <w:r w:rsidRPr="00D738CC">
              <w:rPr>
                <w:sz w:val="22"/>
                <w:szCs w:val="22"/>
              </w:rPr>
              <w:t xml:space="preserve">4 patients with MDR-TB were identified at a Metropolitan Sydney Chest clinic. All patients were born overseas and 3 patients were previously treated for fully sensitive pulmonary tuberculosis. 3 patients were diagnosed with pulmonary MDR-TB with abnormal radiological investigation and positive sputum cultures. One patient was diagnosed with MDR-TB osteomyelitis of the foot. MDR-TB was treated with a combination of </w:t>
            </w:r>
            <w:proofErr w:type="spellStart"/>
            <w:r w:rsidRPr="00D738CC">
              <w:rPr>
                <w:sz w:val="22"/>
                <w:szCs w:val="22"/>
              </w:rPr>
              <w:t>bedaquiline</w:t>
            </w:r>
            <w:proofErr w:type="spellEnd"/>
            <w:r w:rsidRPr="00D738CC">
              <w:rPr>
                <w:sz w:val="22"/>
                <w:szCs w:val="22"/>
              </w:rPr>
              <w:t xml:space="preserve">, linezolid, moxifloxacin, </w:t>
            </w:r>
            <w:proofErr w:type="spellStart"/>
            <w:r w:rsidRPr="00D738CC">
              <w:rPr>
                <w:sz w:val="22"/>
                <w:szCs w:val="22"/>
              </w:rPr>
              <w:t>clofazimine</w:t>
            </w:r>
            <w:proofErr w:type="spellEnd"/>
            <w:r w:rsidRPr="00D738CC">
              <w:rPr>
                <w:sz w:val="22"/>
                <w:szCs w:val="22"/>
              </w:rPr>
              <w:t xml:space="preserve">, pyrazinamide, </w:t>
            </w:r>
            <w:proofErr w:type="spellStart"/>
            <w:r w:rsidRPr="00D738CC">
              <w:rPr>
                <w:sz w:val="22"/>
                <w:szCs w:val="22"/>
              </w:rPr>
              <w:t>cycloserine</w:t>
            </w:r>
            <w:proofErr w:type="spellEnd"/>
            <w:r w:rsidRPr="00D738CC">
              <w:rPr>
                <w:sz w:val="22"/>
                <w:szCs w:val="22"/>
              </w:rPr>
              <w:t xml:space="preserve">, amikacin and </w:t>
            </w:r>
            <w:proofErr w:type="spellStart"/>
            <w:r w:rsidRPr="00D738CC">
              <w:rPr>
                <w:sz w:val="22"/>
                <w:szCs w:val="22"/>
              </w:rPr>
              <w:t>ethionamide</w:t>
            </w:r>
            <w:proofErr w:type="spellEnd"/>
            <w:r w:rsidRPr="00D738CC">
              <w:rPr>
                <w:sz w:val="22"/>
                <w:szCs w:val="22"/>
              </w:rPr>
              <w:t>. All patients completed an extended duration of minimum 18 months. Most patients tolerated the treatment well with minimal side effects. One patient experienced amikacin related ototoxicity that resolved upon completion of treatment and linezolid related neurotoxicity. No patients had interruptions to their treatment and they were monitored with regular ECG.</w:t>
            </w:r>
          </w:p>
          <w:p w14:paraId="68537800" w14:textId="77777777" w:rsidR="001564A4" w:rsidRPr="0050053A" w:rsidRDefault="001564A4" w:rsidP="000A28E2">
            <w:pPr>
              <w:pStyle w:val="Pa12"/>
              <w:rPr>
                <w:rStyle w:val="A4"/>
                <w:bCs/>
              </w:rPr>
            </w:pPr>
          </w:p>
          <w:p w14:paraId="652F7BE1" w14:textId="77777777" w:rsidR="001564A4" w:rsidRPr="0050053A" w:rsidRDefault="001564A4" w:rsidP="000A28E2">
            <w:pPr>
              <w:pStyle w:val="Pa12"/>
              <w:rPr>
                <w:rStyle w:val="A4"/>
                <w:b/>
                <w:bCs/>
              </w:rPr>
            </w:pPr>
            <w:r w:rsidRPr="0050053A">
              <w:rPr>
                <w:rStyle w:val="A4"/>
                <w:b/>
                <w:bCs/>
              </w:rPr>
              <w:t xml:space="preserve">Conclusion: </w:t>
            </w:r>
          </w:p>
          <w:p w14:paraId="69B04572" w14:textId="5795E922" w:rsidR="001564A4" w:rsidRPr="0050053A" w:rsidRDefault="00D738CC" w:rsidP="000A28E2">
            <w:pPr>
              <w:pStyle w:val="Pa12"/>
              <w:rPr>
                <w:sz w:val="22"/>
                <w:szCs w:val="22"/>
              </w:rPr>
            </w:pPr>
            <w:r w:rsidRPr="00D738CC">
              <w:rPr>
                <w:sz w:val="22"/>
                <w:szCs w:val="22"/>
              </w:rPr>
              <w:t xml:space="preserve">This study demonstrated </w:t>
            </w:r>
            <w:proofErr w:type="spellStart"/>
            <w:r w:rsidRPr="00D738CC">
              <w:rPr>
                <w:sz w:val="22"/>
                <w:szCs w:val="22"/>
              </w:rPr>
              <w:t>bedaquiline</w:t>
            </w:r>
            <w:proofErr w:type="spellEnd"/>
            <w:r w:rsidRPr="00D738CC">
              <w:rPr>
                <w:sz w:val="22"/>
                <w:szCs w:val="22"/>
              </w:rPr>
              <w:t xml:space="preserve"> containing individualised treatment for patients with MDR-TB in Australia was associated with high rates of treatment success within the public treatment programme.</w:t>
            </w:r>
            <w:r w:rsidR="001564A4">
              <w:rPr>
                <w:sz w:val="22"/>
                <w:szCs w:val="22"/>
              </w:rPr>
              <w:br/>
            </w:r>
          </w:p>
          <w:p w14:paraId="2A651708" w14:textId="77777777" w:rsidR="001564A4" w:rsidRPr="0050053A" w:rsidRDefault="001564A4" w:rsidP="000A28E2">
            <w:pPr>
              <w:pStyle w:val="Pa12"/>
              <w:rPr>
                <w:sz w:val="22"/>
                <w:szCs w:val="22"/>
              </w:rPr>
            </w:pPr>
          </w:p>
          <w:p w14:paraId="033167F9" w14:textId="77777777" w:rsidR="001564A4" w:rsidRPr="0050053A" w:rsidRDefault="001564A4" w:rsidP="000A28E2">
            <w:pPr>
              <w:pStyle w:val="Pa12"/>
              <w:rPr>
                <w:rStyle w:val="A4"/>
                <w:bCs/>
              </w:rPr>
            </w:pPr>
            <w:r>
              <w:rPr>
                <w:rStyle w:val="A4"/>
                <w:bCs/>
              </w:rPr>
              <w:t xml:space="preserve"> </w:t>
            </w:r>
          </w:p>
          <w:p w14:paraId="196E7BAC" w14:textId="77777777" w:rsidR="001564A4" w:rsidRPr="0050053A" w:rsidRDefault="001564A4" w:rsidP="000A28E2">
            <w:pPr>
              <w:pStyle w:val="Pa12"/>
              <w:rPr>
                <w:rStyle w:val="A4"/>
                <w:bCs/>
              </w:rPr>
            </w:pPr>
            <w:r>
              <w:rPr>
                <w:rStyle w:val="A4"/>
                <w:bCs/>
              </w:rPr>
              <w:br/>
            </w:r>
          </w:p>
          <w:p w14:paraId="3E8B4283" w14:textId="77777777" w:rsidR="001564A4" w:rsidRPr="0050053A" w:rsidRDefault="001564A4" w:rsidP="000A28E2">
            <w:pPr>
              <w:pStyle w:val="Pa12"/>
              <w:rPr>
                <w:rStyle w:val="A4"/>
                <w:b/>
                <w:bCs/>
              </w:rPr>
            </w:pPr>
            <w:r w:rsidRPr="0050053A">
              <w:rPr>
                <w:rStyle w:val="A4"/>
                <w:b/>
                <w:bCs/>
              </w:rPr>
              <w:t xml:space="preserve">Grant Support: </w:t>
            </w:r>
          </w:p>
          <w:p w14:paraId="7F8381F0" w14:textId="77777777" w:rsidR="001564A4" w:rsidRDefault="001564A4" w:rsidP="000A28E2">
            <w:pPr>
              <w:pStyle w:val="Pa12"/>
              <w:rPr>
                <w:sz w:val="22"/>
                <w:szCs w:val="22"/>
              </w:rPr>
            </w:pPr>
            <w:r>
              <w:rPr>
                <w:sz w:val="22"/>
                <w:szCs w:val="22"/>
              </w:rPr>
              <w:br/>
            </w:r>
            <w:r>
              <w:rPr>
                <w:sz w:val="22"/>
                <w:szCs w:val="22"/>
              </w:rPr>
              <w:br/>
            </w:r>
            <w:r>
              <w:rPr>
                <w:sz w:val="22"/>
                <w:szCs w:val="22"/>
              </w:rPr>
              <w:br/>
            </w:r>
            <w:r>
              <w:rPr>
                <w:sz w:val="22"/>
                <w:szCs w:val="22"/>
              </w:rPr>
              <w:br/>
            </w:r>
            <w:r>
              <w:rPr>
                <w:sz w:val="22"/>
                <w:szCs w:val="22"/>
              </w:rPr>
              <w:br/>
            </w:r>
            <w:r>
              <w:rPr>
                <w:sz w:val="22"/>
                <w:szCs w:val="22"/>
              </w:rPr>
              <w:br/>
            </w:r>
            <w:r>
              <w:rPr>
                <w:sz w:val="22"/>
                <w:szCs w:val="22"/>
              </w:rPr>
              <w:br/>
            </w:r>
            <w:r>
              <w:rPr>
                <w:sz w:val="22"/>
                <w:szCs w:val="22"/>
              </w:rPr>
              <w:br/>
            </w:r>
            <w:r>
              <w:rPr>
                <w:sz w:val="22"/>
                <w:szCs w:val="22"/>
              </w:rPr>
              <w:br/>
            </w:r>
            <w:r>
              <w:rPr>
                <w:sz w:val="22"/>
                <w:szCs w:val="22"/>
              </w:rPr>
              <w:br/>
            </w:r>
            <w:r>
              <w:rPr>
                <w:sz w:val="22"/>
                <w:szCs w:val="22"/>
              </w:rPr>
              <w:br/>
            </w:r>
          </w:p>
          <w:p w14:paraId="731CD908" w14:textId="77777777" w:rsidR="001564A4" w:rsidRDefault="001564A4" w:rsidP="000A28E2">
            <w:pPr>
              <w:pStyle w:val="Default"/>
            </w:pPr>
          </w:p>
          <w:p w14:paraId="34BF0A0F" w14:textId="77777777" w:rsidR="001564A4" w:rsidRPr="003E35F0" w:rsidRDefault="001564A4" w:rsidP="000A28E2">
            <w:pPr>
              <w:pStyle w:val="Default"/>
            </w:pPr>
          </w:p>
          <w:p w14:paraId="1FF1A88F" w14:textId="77777777" w:rsidR="001564A4" w:rsidRPr="0050053A" w:rsidRDefault="001564A4" w:rsidP="000A28E2">
            <w:pPr>
              <w:pStyle w:val="Pa12"/>
              <w:rPr>
                <w:rStyle w:val="A4"/>
                <w:bCs/>
              </w:rPr>
            </w:pP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p>
          <w:p w14:paraId="14DC37E4" w14:textId="77777777" w:rsidR="001564A4" w:rsidRPr="0050053A" w:rsidRDefault="001564A4" w:rsidP="000A28E2">
            <w:pPr>
              <w:pStyle w:val="Default"/>
              <w:rPr>
                <w:rStyle w:val="A4"/>
                <w:bCs/>
              </w:rPr>
            </w:pPr>
          </w:p>
          <w:p w14:paraId="5F58D34F" w14:textId="77777777" w:rsidR="001564A4" w:rsidRPr="0050053A" w:rsidRDefault="001564A4" w:rsidP="000A28E2">
            <w:pPr>
              <w:pStyle w:val="Default"/>
              <w:rPr>
                <w:sz w:val="22"/>
                <w:szCs w:val="22"/>
                <w:lang w:val="en-US" w:eastAsia="en-GB"/>
              </w:rPr>
            </w:pP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p>
        </w:tc>
      </w:tr>
    </w:tbl>
    <w:p w14:paraId="7C36A9DC" w14:textId="32A70617" w:rsidR="00E0700F" w:rsidRDefault="00E0700F" w:rsidP="001564A4"/>
    <w:sectPr w:rsidR="00E0700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tlas Grotesk Regular">
    <w:altName w:val="Calibri"/>
    <w:panose1 w:val="00000000000000000000"/>
    <w:charset w:val="00"/>
    <w:family w:val="modern"/>
    <w:notTrueType/>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64A4"/>
    <w:rsid w:val="000F0B45"/>
    <w:rsid w:val="001564A4"/>
    <w:rsid w:val="0051574E"/>
    <w:rsid w:val="008803FA"/>
    <w:rsid w:val="00B12E32"/>
    <w:rsid w:val="00D738CC"/>
    <w:rsid w:val="00E0700F"/>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03087"/>
  <w15:chartTrackingRefBased/>
  <w15:docId w15:val="{85661192-7B12-4AE4-8F86-3F11BE6AC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tlas Grotesk Regular" w:eastAsiaTheme="minorHAnsi" w:hAnsi="Atlas Grotesk Regular" w:cstheme="minorBidi"/>
        <w:lang w:val="en-NZ"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64A4"/>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564A4"/>
    <w:pPr>
      <w:autoSpaceDE w:val="0"/>
      <w:autoSpaceDN w:val="0"/>
      <w:adjustRightInd w:val="0"/>
    </w:pPr>
    <w:rPr>
      <w:rFonts w:ascii="Arial" w:eastAsia="Times New Roman" w:hAnsi="Arial" w:cs="Arial"/>
      <w:color w:val="000000"/>
      <w:sz w:val="24"/>
      <w:szCs w:val="24"/>
      <w:lang w:eastAsia="en-NZ"/>
    </w:rPr>
  </w:style>
  <w:style w:type="character" w:customStyle="1" w:styleId="A4">
    <w:name w:val="A4"/>
    <w:uiPriority w:val="99"/>
    <w:rsid w:val="001564A4"/>
    <w:rPr>
      <w:color w:val="000000"/>
      <w:sz w:val="22"/>
      <w:szCs w:val="22"/>
    </w:rPr>
  </w:style>
  <w:style w:type="paragraph" w:customStyle="1" w:styleId="Pa12">
    <w:name w:val="Pa12"/>
    <w:basedOn w:val="Default"/>
    <w:next w:val="Default"/>
    <w:uiPriority w:val="99"/>
    <w:rsid w:val="001564A4"/>
    <w:pPr>
      <w:spacing w:line="241" w:lineRule="atLeast"/>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6" ma:contentTypeDescription="Create a new document." ma:contentTypeScope="" ma:versionID="e2b445427de7fdc952c105e35286659b">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97f37c8f8b798b54af2a8e7107b543b3"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A961898-40DD-42B0-A9FA-52244C88F073}">
  <ds:schemaRefs>
    <ds:schemaRef ds:uri="http://purl.org/dc/elements/1.1/"/>
    <ds:schemaRef ds:uri="http://schemas.openxmlformats.org/package/2006/metadata/core-properties"/>
    <ds:schemaRef ds:uri="9c8a2b7b-0bee-4c48-b0a6-23db8982d3bc"/>
    <ds:schemaRef ds:uri="6911e96c-4cc4-42d5-8e43-f93924cf6a05"/>
    <ds:schemaRef ds:uri="http://purl.org/dc/terms/"/>
    <ds:schemaRef ds:uri="cab52c9b-ab33-4221-8af9-54f8f2b86a80"/>
    <ds:schemaRef ds:uri="http://schemas.microsoft.com/office/2006/documentManagement/types"/>
    <ds:schemaRef ds:uri="http://schemas.microsoft.com/office/infopath/2007/PartnerControls"/>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15C7D0F7-9D36-49A6-B504-6A025E2D928F}">
  <ds:schemaRefs>
    <ds:schemaRef ds:uri="http://schemas.microsoft.com/sharepoint/v3/contenttype/forms"/>
  </ds:schemaRefs>
</ds:datastoreItem>
</file>

<file path=customXml/itemProps3.xml><?xml version="1.0" encoding="utf-8"?>
<ds:datastoreItem xmlns:ds="http://schemas.openxmlformats.org/officeDocument/2006/customXml" ds:itemID="{9E4E03BB-3B94-43A7-A10E-EF4C0ABC64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314</Words>
  <Characters>1792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Lele Talagi</dc:creator>
  <cp:keywords/>
  <dc:description/>
  <cp:lastModifiedBy>STGH Respiratory Medicine</cp:lastModifiedBy>
  <cp:revision>3</cp:revision>
  <dcterms:created xsi:type="dcterms:W3CDTF">2023-10-12T05:01:00Z</dcterms:created>
  <dcterms:modified xsi:type="dcterms:W3CDTF">2023-10-12T05:03:00Z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