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572" w:type="dxa"/>
        <w:tblLayout w:type="fixed"/>
        <w:tblLook w:val="01E0" w:firstRow="1" w:lastRow="1" w:firstColumn="1" w:lastColumn="1" w:noHBand="0" w:noVBand="0"/>
      </w:tblPr>
      <w:tblGrid>
        <w:gridCol w:w="10070"/>
      </w:tblGrid>
      <w:tr w:rsidR="006D4713" w:rsidRPr="0050053A" w14:paraId="6C68AC80" w14:textId="77777777" w:rsidTr="009B617E">
        <w:trPr>
          <w:trHeight w:val="550"/>
        </w:trPr>
        <w:tc>
          <w:tcPr>
            <w:tcW w:w="10070" w:type="dxa"/>
          </w:tcPr>
          <w:p w14:paraId="6C68AC7F" w14:textId="21EE2E73" w:rsidR="006D4713" w:rsidRPr="0050053A" w:rsidRDefault="00220350" w:rsidP="009C1987">
            <w:pPr>
              <w:spacing w:before="120" w:after="120"/>
              <w:rPr>
                <w:rFonts w:ascii="Arial" w:hAnsi="Arial" w:cs="Arial"/>
                <w:b/>
                <w:sz w:val="22"/>
                <w:szCs w:val="22"/>
                <w:lang w:val="en-US" w:eastAsia="zh-CN"/>
              </w:rPr>
            </w:pPr>
            <w:r w:rsidRPr="00546DCA">
              <w:rPr>
                <w:rFonts w:ascii="Arial" w:hAnsi="Arial" w:cs="Arial"/>
                <w:b/>
                <w:bCs/>
                <w:sz w:val="22"/>
                <w:szCs w:val="22"/>
              </w:rPr>
              <w:t>Pre-operative risk assessment for scoliosis patients – is spirometry enough?</w:t>
            </w:r>
          </w:p>
        </w:tc>
      </w:tr>
      <w:tr w:rsidR="006D4713" w:rsidRPr="0050053A" w14:paraId="6C68AC82" w14:textId="77777777" w:rsidTr="009B617E">
        <w:trPr>
          <w:trHeight w:val="534"/>
        </w:trPr>
        <w:tc>
          <w:tcPr>
            <w:tcW w:w="10070" w:type="dxa"/>
          </w:tcPr>
          <w:p w14:paraId="6C68AC81" w14:textId="45F5F210" w:rsidR="006D4713" w:rsidRPr="00E006E3" w:rsidRDefault="0062670B" w:rsidP="009C1987">
            <w:pPr>
              <w:spacing w:before="120" w:after="120"/>
              <w:rPr>
                <w:rFonts w:ascii="Arial" w:hAnsi="Arial" w:cs="Arial"/>
                <w:i/>
                <w:sz w:val="22"/>
                <w:szCs w:val="22"/>
                <w:u w:val="single"/>
                <w:lang w:eastAsia="zh-CN"/>
              </w:rPr>
            </w:pPr>
            <w:r>
              <w:rPr>
                <w:rFonts w:ascii="Arial" w:hAnsi="Arial" w:cs="Arial"/>
                <w:i/>
                <w:sz w:val="22"/>
                <w:szCs w:val="22"/>
                <w:lang w:val="en-US" w:eastAsia="en-GB"/>
              </w:rPr>
              <w:t>Martin T</w:t>
            </w:r>
            <w:r w:rsidRPr="0050053A">
              <w:rPr>
                <w:rFonts w:ascii="Arial" w:hAnsi="Arial" w:cs="Arial"/>
                <w:i/>
                <w:sz w:val="22"/>
                <w:szCs w:val="22"/>
                <w:vertAlign w:val="superscript"/>
                <w:lang w:val="en-US" w:eastAsia="en-GB"/>
              </w:rPr>
              <w:t>1</w:t>
            </w:r>
            <w:r w:rsidRPr="0050053A">
              <w:rPr>
                <w:rFonts w:ascii="Arial" w:hAnsi="Arial" w:cs="Arial"/>
                <w:i/>
                <w:sz w:val="22"/>
                <w:szCs w:val="22"/>
                <w:lang w:val="en-US" w:eastAsia="en-GB"/>
              </w:rPr>
              <w:t>,</w:t>
            </w:r>
            <w:r>
              <w:rPr>
                <w:rFonts w:ascii="Arial" w:hAnsi="Arial" w:cs="Arial"/>
                <w:i/>
                <w:sz w:val="22"/>
                <w:szCs w:val="22"/>
                <w:lang w:val="en-US" w:eastAsia="en-GB"/>
              </w:rPr>
              <w:t xml:space="preserve"> Abeyweera P</w:t>
            </w:r>
            <w:r w:rsidRPr="0050053A">
              <w:rPr>
                <w:rFonts w:ascii="Arial" w:hAnsi="Arial" w:cs="Arial"/>
                <w:i/>
                <w:sz w:val="22"/>
                <w:szCs w:val="22"/>
                <w:vertAlign w:val="superscript"/>
                <w:lang w:val="en-US" w:eastAsia="en-GB"/>
              </w:rPr>
              <w:t>1</w:t>
            </w:r>
            <w:r>
              <w:rPr>
                <w:rFonts w:ascii="Arial" w:hAnsi="Arial" w:cs="Arial"/>
                <w:i/>
                <w:sz w:val="22"/>
                <w:szCs w:val="22"/>
                <w:lang w:val="en-US" w:eastAsia="en-GB"/>
              </w:rPr>
              <w:t>, Retterath A</w:t>
            </w:r>
            <w:r>
              <w:rPr>
                <w:rFonts w:ascii="Arial" w:hAnsi="Arial" w:cs="Arial"/>
                <w:i/>
                <w:sz w:val="22"/>
                <w:szCs w:val="22"/>
                <w:vertAlign w:val="superscript"/>
                <w:lang w:val="en-US" w:eastAsia="en-GB"/>
              </w:rPr>
              <w:t>1</w:t>
            </w:r>
            <w:r>
              <w:rPr>
                <w:rFonts w:ascii="Arial" w:hAnsi="Arial" w:cs="Arial"/>
                <w:i/>
                <w:sz w:val="22"/>
                <w:szCs w:val="22"/>
                <w:lang w:val="en-US" w:eastAsia="en-GB"/>
              </w:rPr>
              <w:t>, Smith E</w:t>
            </w:r>
            <w:r w:rsidRPr="0050053A">
              <w:rPr>
                <w:rFonts w:ascii="Arial" w:hAnsi="Arial" w:cs="Arial"/>
                <w:i/>
                <w:sz w:val="22"/>
                <w:szCs w:val="22"/>
                <w:vertAlign w:val="superscript"/>
                <w:lang w:val="en-US" w:eastAsia="en-GB"/>
              </w:rPr>
              <w:t>1</w:t>
            </w:r>
            <w:r w:rsidRPr="0050053A">
              <w:rPr>
                <w:rFonts w:ascii="Arial" w:hAnsi="Arial" w:cs="Arial"/>
                <w:i/>
                <w:sz w:val="22"/>
                <w:szCs w:val="22"/>
                <w:lang w:val="en-US" w:eastAsia="en-GB"/>
              </w:rPr>
              <w:t>,</w:t>
            </w:r>
            <w:r>
              <w:rPr>
                <w:rFonts w:ascii="Arial" w:hAnsi="Arial" w:cs="Arial"/>
                <w:i/>
                <w:sz w:val="22"/>
                <w:szCs w:val="22"/>
                <w:lang w:val="en-US" w:eastAsia="en-GB"/>
              </w:rPr>
              <w:t xml:space="preserve"> Fraser </w:t>
            </w:r>
            <w:r w:rsidR="00E006E3">
              <w:rPr>
                <w:rFonts w:ascii="Arial" w:hAnsi="Arial" w:cs="Arial"/>
                <w:i/>
                <w:sz w:val="22"/>
                <w:szCs w:val="22"/>
                <w:lang w:val="en-US" w:eastAsia="en-GB"/>
              </w:rPr>
              <w:t>M</w:t>
            </w:r>
            <w:r w:rsidR="00E006E3">
              <w:rPr>
                <w:rFonts w:ascii="Arial" w:hAnsi="Arial" w:cs="Arial"/>
                <w:i/>
                <w:sz w:val="22"/>
                <w:szCs w:val="22"/>
                <w:vertAlign w:val="superscript"/>
                <w:lang w:val="en-US" w:eastAsia="en-GB"/>
              </w:rPr>
              <w:t>1</w:t>
            </w:r>
            <w:r w:rsidR="00E006E3">
              <w:rPr>
                <w:rFonts w:ascii="Arial" w:hAnsi="Arial" w:cs="Arial"/>
                <w:i/>
                <w:sz w:val="22"/>
                <w:szCs w:val="22"/>
                <w:lang w:val="en-US" w:eastAsia="en-GB"/>
              </w:rPr>
              <w:t>, Lagan S</w:t>
            </w:r>
            <w:r w:rsidR="00E006E3" w:rsidRPr="008B059B">
              <w:rPr>
                <w:rFonts w:ascii="Arial" w:hAnsi="Arial" w:cs="Arial"/>
                <w:i/>
                <w:sz w:val="22"/>
                <w:szCs w:val="22"/>
                <w:vertAlign w:val="superscript"/>
                <w:lang w:val="en-US" w:eastAsia="en-GB"/>
              </w:rPr>
              <w:t>1</w:t>
            </w:r>
            <w:r w:rsidR="00E006E3">
              <w:rPr>
                <w:rFonts w:ascii="Arial" w:hAnsi="Arial" w:cs="Arial"/>
                <w:i/>
                <w:sz w:val="22"/>
                <w:szCs w:val="22"/>
                <w:lang w:val="en-US" w:eastAsia="en-GB"/>
              </w:rPr>
              <w:t xml:space="preserve">, </w:t>
            </w:r>
            <w:r w:rsidR="00BF185B">
              <w:rPr>
                <w:rFonts w:ascii="Arial" w:hAnsi="Arial" w:cs="Arial"/>
                <w:i/>
                <w:sz w:val="22"/>
                <w:szCs w:val="22"/>
                <w:lang w:val="en-US" w:eastAsia="en-GB"/>
              </w:rPr>
              <w:t>Leong J</w:t>
            </w:r>
            <w:r w:rsidR="00BF185B" w:rsidRPr="008B059B">
              <w:rPr>
                <w:rFonts w:ascii="Arial" w:hAnsi="Arial" w:cs="Arial"/>
                <w:i/>
                <w:sz w:val="22"/>
                <w:szCs w:val="22"/>
                <w:vertAlign w:val="superscript"/>
                <w:lang w:val="en-US" w:eastAsia="en-GB"/>
              </w:rPr>
              <w:t>1</w:t>
            </w:r>
            <w:r w:rsidR="00BF185B">
              <w:rPr>
                <w:rFonts w:ascii="Arial" w:hAnsi="Arial" w:cs="Arial"/>
                <w:i/>
                <w:sz w:val="22"/>
                <w:szCs w:val="22"/>
                <w:lang w:val="en-US" w:eastAsia="en-GB"/>
              </w:rPr>
              <w:t xml:space="preserve">, </w:t>
            </w:r>
            <w:r w:rsidR="00E006E3">
              <w:rPr>
                <w:rFonts w:ascii="Arial" w:hAnsi="Arial" w:cs="Arial"/>
                <w:i/>
                <w:sz w:val="22"/>
                <w:szCs w:val="22"/>
                <w:lang w:val="en-US" w:eastAsia="en-GB"/>
              </w:rPr>
              <w:t>Salamon E</w:t>
            </w:r>
            <w:r w:rsidR="00E006E3" w:rsidRPr="0050053A">
              <w:rPr>
                <w:rFonts w:ascii="Arial" w:hAnsi="Arial" w:cs="Arial"/>
                <w:i/>
                <w:sz w:val="22"/>
                <w:szCs w:val="22"/>
                <w:vertAlign w:val="superscript"/>
                <w:lang w:val="en-US" w:eastAsia="en-GB"/>
              </w:rPr>
              <w:t>1</w:t>
            </w:r>
            <w:r w:rsidR="00E006E3">
              <w:rPr>
                <w:rFonts w:ascii="Arial" w:hAnsi="Arial" w:cs="Arial"/>
                <w:i/>
                <w:sz w:val="22"/>
                <w:szCs w:val="22"/>
                <w:lang w:val="en-US" w:eastAsia="en-GB"/>
              </w:rPr>
              <w:t>*</w:t>
            </w:r>
          </w:p>
        </w:tc>
      </w:tr>
      <w:tr w:rsidR="006D4713" w:rsidRPr="0050053A" w14:paraId="6C68AC88" w14:textId="77777777" w:rsidTr="009B617E">
        <w:trPr>
          <w:trHeight w:val="144"/>
        </w:trPr>
        <w:tc>
          <w:tcPr>
            <w:tcW w:w="10070" w:type="dxa"/>
          </w:tcPr>
          <w:p w14:paraId="6C68AC87" w14:textId="5F30122A" w:rsidR="0062670B" w:rsidRPr="00114535" w:rsidRDefault="006D4713" w:rsidP="00D02B65">
            <w:pPr>
              <w:spacing w:before="120" w:after="120"/>
              <w:rPr>
                <w:rFonts w:ascii="Arial" w:hAnsi="Arial" w:cs="Arial"/>
                <w:i/>
                <w:sz w:val="20"/>
                <w:szCs w:val="20"/>
                <w:lang w:val="en-US" w:eastAsia="en-GB"/>
              </w:rPr>
            </w:pPr>
            <w:r w:rsidRPr="00546DCA">
              <w:rPr>
                <w:rFonts w:ascii="Arial" w:hAnsi="Arial" w:cs="Arial"/>
                <w:i/>
                <w:sz w:val="22"/>
                <w:szCs w:val="22"/>
                <w:vertAlign w:val="superscript"/>
                <w:lang w:val="en-US" w:eastAsia="en-GB"/>
              </w:rPr>
              <w:t>1</w:t>
            </w:r>
            <w:r w:rsidR="00A02E17" w:rsidRPr="00546DCA">
              <w:rPr>
                <w:rFonts w:ascii="Arial" w:hAnsi="Arial" w:cs="Arial"/>
                <w:i/>
                <w:sz w:val="22"/>
                <w:szCs w:val="22"/>
                <w:lang w:val="en-US" w:eastAsia="en-GB"/>
              </w:rPr>
              <w:t>Department of Respiratory Medicine</w:t>
            </w:r>
            <w:r w:rsidR="0049054B" w:rsidRPr="00546DCA">
              <w:rPr>
                <w:rFonts w:ascii="Arial" w:hAnsi="Arial" w:cs="Arial"/>
                <w:i/>
                <w:sz w:val="22"/>
                <w:szCs w:val="22"/>
                <w:lang w:val="en-US" w:eastAsia="en-GB"/>
              </w:rPr>
              <w:t xml:space="preserve">, Royal Perth Hospital, </w:t>
            </w:r>
            <w:r w:rsidR="005456F6" w:rsidRPr="00546DCA">
              <w:rPr>
                <w:rFonts w:ascii="Arial" w:hAnsi="Arial" w:cs="Arial"/>
                <w:i/>
                <w:sz w:val="22"/>
                <w:szCs w:val="22"/>
                <w:lang w:val="en-US" w:eastAsia="en-GB"/>
              </w:rPr>
              <w:t>WA,</w:t>
            </w:r>
            <w:r w:rsidR="0049054B" w:rsidRPr="00546DCA">
              <w:rPr>
                <w:rFonts w:ascii="Arial" w:hAnsi="Arial" w:cs="Arial"/>
                <w:i/>
                <w:sz w:val="22"/>
                <w:szCs w:val="22"/>
                <w:lang w:val="en-US" w:eastAsia="en-GB"/>
              </w:rPr>
              <w:t xml:space="preserve"> Australia</w:t>
            </w:r>
          </w:p>
        </w:tc>
      </w:tr>
      <w:tr w:rsidR="006D4713" w:rsidRPr="0050053A" w14:paraId="6C68ACA3" w14:textId="77777777" w:rsidTr="00114535">
        <w:trPr>
          <w:trHeight w:hRule="exact" w:val="12025"/>
        </w:trPr>
        <w:tc>
          <w:tcPr>
            <w:tcW w:w="10070" w:type="dxa"/>
          </w:tcPr>
          <w:p w14:paraId="5C153B18" w14:textId="57C5C9BA" w:rsidR="009B617E" w:rsidRPr="009B617E" w:rsidRDefault="00752808" w:rsidP="009B617E">
            <w:pPr>
              <w:autoSpaceDE w:val="0"/>
              <w:autoSpaceDN w:val="0"/>
              <w:adjustRightInd w:val="0"/>
              <w:rPr>
                <w:rStyle w:val="A4"/>
                <w:rFonts w:ascii="Arial" w:hAnsi="Arial" w:cs="Arial"/>
                <w:color w:val="auto"/>
                <w:lang w:val="en-NZ" w:eastAsia="en-NZ"/>
              </w:rPr>
            </w:pPr>
            <w:r w:rsidRPr="009B617E">
              <w:rPr>
                <w:rStyle w:val="A4"/>
                <w:rFonts w:ascii="Arial" w:hAnsi="Arial" w:cs="Arial"/>
                <w:b/>
                <w:bCs/>
                <w:lang w:val="en-NZ" w:eastAsia="en-NZ"/>
              </w:rPr>
              <w:t>Introduction/</w:t>
            </w:r>
            <w:r w:rsidR="006D4713" w:rsidRPr="009B617E">
              <w:rPr>
                <w:rStyle w:val="A4"/>
                <w:rFonts w:ascii="Arial" w:hAnsi="Arial" w:cs="Arial"/>
                <w:b/>
                <w:bCs/>
                <w:lang w:val="en-NZ" w:eastAsia="en-NZ"/>
              </w:rPr>
              <w:t>Aim:</w:t>
            </w:r>
            <w:r w:rsidR="005456F6" w:rsidRPr="009B617E">
              <w:rPr>
                <w:rStyle w:val="A4"/>
                <w:rFonts w:ascii="Arial" w:hAnsi="Arial" w:cs="Arial"/>
                <w:b/>
                <w:bCs/>
              </w:rPr>
              <w:t xml:space="preserve"> </w:t>
            </w:r>
            <w:r w:rsidR="0049054B" w:rsidRPr="009B617E">
              <w:rPr>
                <w:rFonts w:ascii="Arial" w:hAnsi="Arial" w:cs="Arial"/>
                <w:sz w:val="22"/>
                <w:szCs w:val="22"/>
                <w:lang w:val="en-NZ" w:eastAsia="en-NZ"/>
              </w:rPr>
              <w:t xml:space="preserve">The Royal Perth Hospital (RPH) Surgical Operational Guidelines recommend pulmonary function tests (PFTs) for all patients undergoing scoliosis corrective </w:t>
            </w:r>
            <w:r w:rsidR="009B617E" w:rsidRPr="009B617E">
              <w:rPr>
                <w:rFonts w:ascii="Arial" w:hAnsi="Arial" w:cs="Arial"/>
                <w:sz w:val="22"/>
                <w:szCs w:val="22"/>
                <w:lang w:val="en-NZ" w:eastAsia="en-NZ"/>
              </w:rPr>
              <w:t>surgery</w:t>
            </w:r>
            <w:r w:rsidR="009B617E">
              <w:rPr>
                <w:rFonts w:ascii="Arial" w:hAnsi="Arial" w:cs="Arial"/>
                <w:sz w:val="22"/>
                <w:szCs w:val="22"/>
                <w:lang w:val="en-NZ" w:eastAsia="en-NZ"/>
              </w:rPr>
              <w:t>; however, these guidelines d</w:t>
            </w:r>
            <w:r w:rsidR="00E006E3">
              <w:rPr>
                <w:rFonts w:ascii="Arial" w:hAnsi="Arial" w:cs="Arial"/>
                <w:sz w:val="22"/>
                <w:szCs w:val="22"/>
                <w:lang w:val="en-NZ" w:eastAsia="en-NZ"/>
              </w:rPr>
              <w:t>o</w:t>
            </w:r>
            <w:r w:rsidR="009B617E">
              <w:rPr>
                <w:rFonts w:ascii="Arial" w:hAnsi="Arial" w:cs="Arial"/>
                <w:sz w:val="22"/>
                <w:szCs w:val="22"/>
                <w:lang w:val="en-NZ" w:eastAsia="en-NZ"/>
              </w:rPr>
              <w:t xml:space="preserve"> not specify which PFTs are required.</w:t>
            </w:r>
            <w:r w:rsidR="003C1035" w:rsidRPr="009B617E">
              <w:rPr>
                <w:rFonts w:ascii="Arial" w:hAnsi="Arial" w:cs="Arial"/>
                <w:sz w:val="22"/>
                <w:szCs w:val="22"/>
                <w:lang w:val="en-NZ" w:eastAsia="en-NZ"/>
              </w:rPr>
              <w:t xml:space="preserve"> </w:t>
            </w:r>
            <w:r w:rsidR="0049054B" w:rsidRPr="009B617E">
              <w:rPr>
                <w:rFonts w:ascii="Arial" w:hAnsi="Arial" w:cs="Arial"/>
                <w:sz w:val="22"/>
                <w:szCs w:val="22"/>
                <w:lang w:val="en-NZ" w:eastAsia="en-NZ"/>
              </w:rPr>
              <w:t>Comprehensive PFTs (spirometry, DLCO, plethysmography</w:t>
            </w:r>
            <w:r w:rsidR="00380CE2">
              <w:rPr>
                <w:rFonts w:ascii="Arial" w:hAnsi="Arial" w:cs="Arial"/>
                <w:sz w:val="22"/>
                <w:szCs w:val="22"/>
                <w:lang w:val="en-NZ" w:eastAsia="en-NZ"/>
              </w:rPr>
              <w:t xml:space="preserve"> and</w:t>
            </w:r>
            <w:r w:rsidR="0049054B" w:rsidRPr="009B617E">
              <w:rPr>
                <w:rFonts w:ascii="Arial" w:hAnsi="Arial" w:cs="Arial"/>
                <w:sz w:val="22"/>
                <w:szCs w:val="22"/>
                <w:lang w:val="en-NZ" w:eastAsia="en-NZ"/>
              </w:rPr>
              <w:t xml:space="preserve"> mouth pressures) were performed for all pre-operative scoliosis patients. In December 2020 this was revised to spirometry only for patients with idiopathic scoliosis and comprehensive PFTs for patients with non-idiopathic scoliosis (</w:t>
            </w:r>
            <w:proofErr w:type="gramStart"/>
            <w:r w:rsidR="0049054B" w:rsidRPr="009B617E">
              <w:rPr>
                <w:rFonts w:ascii="Arial" w:hAnsi="Arial" w:cs="Arial"/>
                <w:sz w:val="22"/>
                <w:szCs w:val="22"/>
                <w:lang w:val="en-NZ" w:eastAsia="en-NZ"/>
              </w:rPr>
              <w:t>i.e.</w:t>
            </w:r>
            <w:proofErr w:type="gramEnd"/>
            <w:r w:rsidR="0049054B" w:rsidRPr="009B617E">
              <w:rPr>
                <w:rFonts w:ascii="Arial" w:hAnsi="Arial" w:cs="Arial"/>
                <w:sz w:val="22"/>
                <w:szCs w:val="22"/>
                <w:lang w:val="en-NZ" w:eastAsia="en-NZ"/>
              </w:rPr>
              <w:t xml:space="preserve"> complex neuro-muscular scoliosis). We aimed to determine if, after limiting preoperative PFTs for idiopathic scoliosis patients, there were post-operative adverse events (AE) that could have been forewarned by more comprehensive testing.</w:t>
            </w:r>
          </w:p>
          <w:p w14:paraId="0C138195" w14:textId="77777777" w:rsidR="00114535" w:rsidRDefault="00114535" w:rsidP="009B617E">
            <w:pPr>
              <w:pStyle w:val="Pa12"/>
              <w:rPr>
                <w:rStyle w:val="A4"/>
                <w:b/>
                <w:bCs/>
              </w:rPr>
            </w:pPr>
          </w:p>
          <w:p w14:paraId="0392BECC" w14:textId="0D623838" w:rsidR="009B617E" w:rsidRPr="009B617E" w:rsidRDefault="006D4713" w:rsidP="009B617E">
            <w:pPr>
              <w:pStyle w:val="Pa12"/>
              <w:rPr>
                <w:sz w:val="22"/>
                <w:szCs w:val="22"/>
              </w:rPr>
            </w:pPr>
            <w:r w:rsidRPr="009B617E">
              <w:rPr>
                <w:rStyle w:val="A4"/>
                <w:b/>
                <w:bCs/>
              </w:rPr>
              <w:t xml:space="preserve">Method: </w:t>
            </w:r>
            <w:r w:rsidR="0049054B" w:rsidRPr="009B617E">
              <w:rPr>
                <w:sz w:val="22"/>
                <w:szCs w:val="22"/>
              </w:rPr>
              <w:t>Prospective review of patients undergoing scoliosis repair surgery between August 2020 and February 2021 (Group 2, n=42). Post-operative outcomes were compared with data from a retrospective audit of patients between November 2015 and May 2017 (Group 1, n=30). A respiratory consultant reviewed peri- and post-operative AE</w:t>
            </w:r>
            <w:r w:rsidR="005C2F42">
              <w:rPr>
                <w:sz w:val="22"/>
                <w:szCs w:val="22"/>
              </w:rPr>
              <w:t>s</w:t>
            </w:r>
            <w:r w:rsidR="0049054B" w:rsidRPr="009B617E">
              <w:rPr>
                <w:sz w:val="22"/>
                <w:szCs w:val="22"/>
              </w:rPr>
              <w:t xml:space="preserve"> and determined whether they could be related to pre-operative lung function.</w:t>
            </w:r>
          </w:p>
          <w:p w14:paraId="373BD4DF" w14:textId="77777777" w:rsidR="00114535" w:rsidRDefault="00114535" w:rsidP="009C1987">
            <w:pPr>
              <w:pStyle w:val="Pa12"/>
              <w:rPr>
                <w:rStyle w:val="A4"/>
                <w:b/>
                <w:bCs/>
              </w:rPr>
            </w:pPr>
          </w:p>
          <w:p w14:paraId="6C68AC91" w14:textId="3C30CD2C" w:rsidR="006D4713" w:rsidRDefault="006D4713" w:rsidP="009C1987">
            <w:pPr>
              <w:pStyle w:val="Pa12"/>
              <w:rPr>
                <w:sz w:val="22"/>
                <w:szCs w:val="22"/>
              </w:rPr>
            </w:pPr>
            <w:r w:rsidRPr="009B617E">
              <w:rPr>
                <w:rStyle w:val="A4"/>
                <w:b/>
                <w:bCs/>
              </w:rPr>
              <w:t xml:space="preserve">Results: </w:t>
            </w:r>
            <w:r w:rsidR="0049054B" w:rsidRPr="009B617E">
              <w:rPr>
                <w:sz w:val="22"/>
                <w:szCs w:val="22"/>
              </w:rPr>
              <w:t>There were no post-operative respiratory complications in Group 1 and four in Group 2. All four post-operative respiratory complications in Group 2 were in patients with idiopathic scoliosis (spirometry only). Post-operative respiratory events included pneumothorax resulting from the surgical procedure (2), aspiration pneumonia and hypoxic respiratory failure. Following review, it was determined that only the hypoxic respiratory failure</w:t>
            </w:r>
            <w:r w:rsidR="0049054B" w:rsidRPr="009B617E">
              <w:rPr>
                <w:b/>
                <w:bCs/>
                <w:sz w:val="22"/>
                <w:szCs w:val="22"/>
              </w:rPr>
              <w:t xml:space="preserve"> </w:t>
            </w:r>
            <w:r w:rsidR="0049054B" w:rsidRPr="009B617E">
              <w:rPr>
                <w:sz w:val="22"/>
                <w:szCs w:val="22"/>
              </w:rPr>
              <w:t>event was related to baseline lung function. Pre-operative spirometry was abnormal for this patient (FEV1 75% predicted; FVC 81% predicted).</w:t>
            </w:r>
          </w:p>
          <w:p w14:paraId="1BE7B10A" w14:textId="77777777" w:rsidR="009B617E" w:rsidRPr="009B617E" w:rsidRDefault="009B617E" w:rsidP="009B617E">
            <w:pPr>
              <w:pStyle w:val="Default"/>
            </w:pPr>
          </w:p>
          <w:tbl>
            <w:tblPr>
              <w:tblStyle w:val="GridTable1Light"/>
              <w:tblW w:w="7919" w:type="dxa"/>
              <w:tblInd w:w="952" w:type="dxa"/>
              <w:tblLayout w:type="fixed"/>
              <w:tblLook w:val="04A0" w:firstRow="1" w:lastRow="0" w:firstColumn="1" w:lastColumn="0" w:noHBand="0" w:noVBand="1"/>
            </w:tblPr>
            <w:tblGrid>
              <w:gridCol w:w="3556"/>
              <w:gridCol w:w="2445"/>
              <w:gridCol w:w="1918"/>
            </w:tblGrid>
            <w:tr w:rsidR="005456F6" w:rsidRPr="009B617E" w14:paraId="65ACE761" w14:textId="77777777" w:rsidTr="009B617E">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556" w:type="dxa"/>
                </w:tcPr>
                <w:p w14:paraId="3718A815" w14:textId="77777777" w:rsidR="0049054B" w:rsidRPr="009B617E" w:rsidRDefault="0049054B" w:rsidP="003C1035">
                  <w:pPr>
                    <w:pStyle w:val="Default"/>
                    <w:jc w:val="center"/>
                    <w:rPr>
                      <w:sz w:val="22"/>
                      <w:szCs w:val="22"/>
                    </w:rPr>
                  </w:pPr>
                </w:p>
              </w:tc>
              <w:tc>
                <w:tcPr>
                  <w:tcW w:w="2445" w:type="dxa"/>
                  <w:hideMark/>
                </w:tcPr>
                <w:p w14:paraId="47F4F782" w14:textId="77777777" w:rsidR="0049054B" w:rsidRPr="009B617E" w:rsidRDefault="0049054B" w:rsidP="0049054B">
                  <w:pPr>
                    <w:pStyle w:val="Default"/>
                    <w:jc w:val="center"/>
                    <w:cnfStyle w:val="100000000000" w:firstRow="1" w:lastRow="0" w:firstColumn="0" w:lastColumn="0" w:oddVBand="0" w:evenVBand="0" w:oddHBand="0" w:evenHBand="0" w:firstRowFirstColumn="0" w:firstRowLastColumn="0" w:lastRowFirstColumn="0" w:lastRowLastColumn="0"/>
                    <w:rPr>
                      <w:sz w:val="22"/>
                      <w:szCs w:val="22"/>
                    </w:rPr>
                  </w:pPr>
                  <w:r w:rsidRPr="009B617E">
                    <w:rPr>
                      <w:sz w:val="22"/>
                      <w:szCs w:val="22"/>
                    </w:rPr>
                    <w:t>Group 1 (n=30)</w:t>
                  </w:r>
                </w:p>
              </w:tc>
              <w:tc>
                <w:tcPr>
                  <w:tcW w:w="1918" w:type="dxa"/>
                  <w:hideMark/>
                </w:tcPr>
                <w:p w14:paraId="1BC813D1" w14:textId="77777777" w:rsidR="0049054B" w:rsidRPr="009B617E" w:rsidRDefault="0049054B" w:rsidP="0049054B">
                  <w:pPr>
                    <w:pStyle w:val="Default"/>
                    <w:jc w:val="center"/>
                    <w:cnfStyle w:val="100000000000" w:firstRow="1" w:lastRow="0" w:firstColumn="0" w:lastColumn="0" w:oddVBand="0" w:evenVBand="0" w:oddHBand="0" w:evenHBand="0" w:firstRowFirstColumn="0" w:firstRowLastColumn="0" w:lastRowFirstColumn="0" w:lastRowLastColumn="0"/>
                    <w:rPr>
                      <w:sz w:val="22"/>
                      <w:szCs w:val="22"/>
                    </w:rPr>
                  </w:pPr>
                  <w:r w:rsidRPr="009B617E">
                    <w:rPr>
                      <w:sz w:val="22"/>
                      <w:szCs w:val="22"/>
                    </w:rPr>
                    <w:t>Group 2 (n=42)</w:t>
                  </w:r>
                </w:p>
              </w:tc>
            </w:tr>
            <w:tr w:rsidR="005456F6" w:rsidRPr="009B617E" w14:paraId="61E66210" w14:textId="77777777" w:rsidTr="009B617E">
              <w:trPr>
                <w:trHeight w:val="328"/>
              </w:trPr>
              <w:tc>
                <w:tcPr>
                  <w:cnfStyle w:val="001000000000" w:firstRow="0" w:lastRow="0" w:firstColumn="1" w:lastColumn="0" w:oddVBand="0" w:evenVBand="0" w:oddHBand="0" w:evenHBand="0" w:firstRowFirstColumn="0" w:firstRowLastColumn="0" w:lastRowFirstColumn="0" w:lastRowLastColumn="0"/>
                  <w:tcW w:w="3556" w:type="dxa"/>
                  <w:hideMark/>
                </w:tcPr>
                <w:p w14:paraId="353565C1" w14:textId="20E0BFB6" w:rsidR="0049054B" w:rsidRPr="009B617E" w:rsidRDefault="0049054B" w:rsidP="0049054B">
                  <w:pPr>
                    <w:pStyle w:val="Default"/>
                    <w:rPr>
                      <w:sz w:val="22"/>
                      <w:szCs w:val="22"/>
                    </w:rPr>
                  </w:pPr>
                  <w:r w:rsidRPr="009B617E">
                    <w:rPr>
                      <w:sz w:val="22"/>
                      <w:szCs w:val="22"/>
                    </w:rPr>
                    <w:t>Age (</w:t>
                  </w:r>
                  <w:proofErr w:type="spellStart"/>
                  <w:r w:rsidRPr="009B617E">
                    <w:rPr>
                      <w:sz w:val="22"/>
                      <w:szCs w:val="22"/>
                    </w:rPr>
                    <w:t>yrs</w:t>
                  </w:r>
                  <w:proofErr w:type="spellEnd"/>
                  <w:r w:rsidRPr="009B617E">
                    <w:rPr>
                      <w:sz w:val="22"/>
                      <w:szCs w:val="22"/>
                    </w:rPr>
                    <w:t>)</w:t>
                  </w:r>
                </w:p>
              </w:tc>
              <w:tc>
                <w:tcPr>
                  <w:tcW w:w="2445" w:type="dxa"/>
                  <w:hideMark/>
                </w:tcPr>
                <w:p w14:paraId="5C8D7E12" w14:textId="694B5416"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17.8±3.67</w:t>
                  </w:r>
                </w:p>
              </w:tc>
              <w:tc>
                <w:tcPr>
                  <w:tcW w:w="1918" w:type="dxa"/>
                  <w:hideMark/>
                </w:tcPr>
                <w:p w14:paraId="3B2A5407" w14:textId="416D0FC0"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lang w:val="en-AU"/>
                    </w:rPr>
                    <w:t>17.5±6.98</w:t>
                  </w:r>
                </w:p>
              </w:tc>
            </w:tr>
            <w:tr w:rsidR="009B617E" w:rsidRPr="009B617E" w14:paraId="0FC134C0" w14:textId="77777777" w:rsidTr="009B617E">
              <w:trPr>
                <w:trHeight w:val="328"/>
              </w:trPr>
              <w:tc>
                <w:tcPr>
                  <w:cnfStyle w:val="001000000000" w:firstRow="0" w:lastRow="0" w:firstColumn="1" w:lastColumn="0" w:oddVBand="0" w:evenVBand="0" w:oddHBand="0" w:evenHBand="0" w:firstRowFirstColumn="0" w:firstRowLastColumn="0" w:lastRowFirstColumn="0" w:lastRowLastColumn="0"/>
                  <w:tcW w:w="3556" w:type="dxa"/>
                  <w:hideMark/>
                </w:tcPr>
                <w:p w14:paraId="5E4CF1A1" w14:textId="39E368DB" w:rsidR="0049054B" w:rsidRPr="009B617E" w:rsidRDefault="0049054B" w:rsidP="0049054B">
                  <w:pPr>
                    <w:pStyle w:val="Default"/>
                    <w:rPr>
                      <w:sz w:val="22"/>
                      <w:szCs w:val="22"/>
                    </w:rPr>
                  </w:pPr>
                  <w:r w:rsidRPr="009B617E">
                    <w:rPr>
                      <w:sz w:val="22"/>
                      <w:szCs w:val="22"/>
                    </w:rPr>
                    <w:t>Cobb angle (°)</w:t>
                  </w:r>
                </w:p>
              </w:tc>
              <w:tc>
                <w:tcPr>
                  <w:tcW w:w="2445" w:type="dxa"/>
                  <w:hideMark/>
                </w:tcPr>
                <w:p w14:paraId="48DE83F5" w14:textId="400C22C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53.5±10.49</w:t>
                  </w:r>
                </w:p>
              </w:tc>
              <w:tc>
                <w:tcPr>
                  <w:tcW w:w="1918" w:type="dxa"/>
                  <w:hideMark/>
                </w:tcPr>
                <w:p w14:paraId="1B791902" w14:textId="3C842606"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62.82±13.73</w:t>
                  </w:r>
                </w:p>
              </w:tc>
            </w:tr>
            <w:tr w:rsidR="005456F6" w:rsidRPr="009B617E" w14:paraId="3380CF81" w14:textId="77777777" w:rsidTr="009B617E">
              <w:trPr>
                <w:trHeight w:val="328"/>
              </w:trPr>
              <w:tc>
                <w:tcPr>
                  <w:cnfStyle w:val="001000000000" w:firstRow="0" w:lastRow="0" w:firstColumn="1" w:lastColumn="0" w:oddVBand="0" w:evenVBand="0" w:oddHBand="0" w:evenHBand="0" w:firstRowFirstColumn="0" w:firstRowLastColumn="0" w:lastRowFirstColumn="0" w:lastRowLastColumn="0"/>
                  <w:tcW w:w="3556" w:type="dxa"/>
                  <w:hideMark/>
                </w:tcPr>
                <w:p w14:paraId="0211671F" w14:textId="29043A76" w:rsidR="0049054B" w:rsidRPr="009B617E" w:rsidRDefault="0049054B" w:rsidP="0049054B">
                  <w:pPr>
                    <w:pStyle w:val="Default"/>
                    <w:rPr>
                      <w:sz w:val="22"/>
                      <w:szCs w:val="22"/>
                    </w:rPr>
                  </w:pPr>
                  <w:r w:rsidRPr="009B617E">
                    <w:rPr>
                      <w:sz w:val="22"/>
                      <w:szCs w:val="22"/>
                    </w:rPr>
                    <w:t>FEV</w:t>
                  </w:r>
                  <w:r w:rsidRPr="009B617E">
                    <w:rPr>
                      <w:sz w:val="22"/>
                      <w:szCs w:val="22"/>
                      <w:vertAlign w:val="subscript"/>
                    </w:rPr>
                    <w:t>1</w:t>
                  </w:r>
                  <w:r w:rsidRPr="009B617E">
                    <w:rPr>
                      <w:sz w:val="22"/>
                      <w:szCs w:val="22"/>
                    </w:rPr>
                    <w:t xml:space="preserve"> (%pred)</w:t>
                  </w:r>
                </w:p>
              </w:tc>
              <w:tc>
                <w:tcPr>
                  <w:tcW w:w="2445" w:type="dxa"/>
                  <w:hideMark/>
                </w:tcPr>
                <w:p w14:paraId="70ADBAAB" w14:textId="4C68EE43"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86±13</w:t>
                  </w:r>
                </w:p>
              </w:tc>
              <w:tc>
                <w:tcPr>
                  <w:tcW w:w="1918" w:type="dxa"/>
                  <w:hideMark/>
                </w:tcPr>
                <w:p w14:paraId="53DF2AFB" w14:textId="691113D4"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lang w:val="en-AU"/>
                    </w:rPr>
                  </w:pPr>
                  <w:r w:rsidRPr="009B617E">
                    <w:rPr>
                      <w:sz w:val="22"/>
                      <w:szCs w:val="22"/>
                      <w:lang w:val="en-AU"/>
                    </w:rPr>
                    <w:t>79</w:t>
                  </w:r>
                  <w:r w:rsidRPr="009B617E">
                    <w:rPr>
                      <w:sz w:val="22"/>
                      <w:szCs w:val="22"/>
                    </w:rPr>
                    <w:t>±18</w:t>
                  </w:r>
                </w:p>
              </w:tc>
            </w:tr>
            <w:tr w:rsidR="009B617E" w:rsidRPr="009B617E" w14:paraId="6F1C092A" w14:textId="77777777" w:rsidTr="009B617E">
              <w:trPr>
                <w:trHeight w:val="347"/>
              </w:trPr>
              <w:tc>
                <w:tcPr>
                  <w:cnfStyle w:val="001000000000" w:firstRow="0" w:lastRow="0" w:firstColumn="1" w:lastColumn="0" w:oddVBand="0" w:evenVBand="0" w:oddHBand="0" w:evenHBand="0" w:firstRowFirstColumn="0" w:firstRowLastColumn="0" w:lastRowFirstColumn="0" w:lastRowLastColumn="0"/>
                  <w:tcW w:w="3556" w:type="dxa"/>
                  <w:hideMark/>
                </w:tcPr>
                <w:p w14:paraId="6FA5460D" w14:textId="49DDD194" w:rsidR="0049054B" w:rsidRPr="009B617E" w:rsidRDefault="0049054B" w:rsidP="0049054B">
                  <w:pPr>
                    <w:pStyle w:val="Default"/>
                    <w:rPr>
                      <w:sz w:val="22"/>
                      <w:szCs w:val="22"/>
                    </w:rPr>
                  </w:pPr>
                  <w:r w:rsidRPr="009B617E">
                    <w:rPr>
                      <w:sz w:val="22"/>
                      <w:szCs w:val="22"/>
                    </w:rPr>
                    <w:t>FVC (%pred)</w:t>
                  </w:r>
                </w:p>
              </w:tc>
              <w:tc>
                <w:tcPr>
                  <w:tcW w:w="2445" w:type="dxa"/>
                  <w:hideMark/>
                </w:tcPr>
                <w:p w14:paraId="327D57C9" w14:textId="6382E3C8"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88±12</w:t>
                  </w:r>
                </w:p>
              </w:tc>
              <w:tc>
                <w:tcPr>
                  <w:tcW w:w="1918" w:type="dxa"/>
                  <w:hideMark/>
                </w:tcPr>
                <w:p w14:paraId="0D9D85A0" w14:textId="64118884"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82±19</w:t>
                  </w:r>
                </w:p>
              </w:tc>
            </w:tr>
            <w:tr w:rsidR="005456F6" w:rsidRPr="009B617E" w14:paraId="3EBC297E" w14:textId="77777777" w:rsidTr="009B617E">
              <w:trPr>
                <w:trHeight w:val="328"/>
              </w:trPr>
              <w:tc>
                <w:tcPr>
                  <w:cnfStyle w:val="001000000000" w:firstRow="0" w:lastRow="0" w:firstColumn="1" w:lastColumn="0" w:oddVBand="0" w:evenVBand="0" w:oddHBand="0" w:evenHBand="0" w:firstRowFirstColumn="0" w:firstRowLastColumn="0" w:lastRowFirstColumn="0" w:lastRowLastColumn="0"/>
                  <w:tcW w:w="3556" w:type="dxa"/>
                  <w:hideMark/>
                </w:tcPr>
                <w:p w14:paraId="21987962" w14:textId="06F2A454" w:rsidR="0049054B" w:rsidRPr="009B617E" w:rsidRDefault="0049054B" w:rsidP="0049054B">
                  <w:pPr>
                    <w:pStyle w:val="Default"/>
                    <w:rPr>
                      <w:sz w:val="22"/>
                      <w:szCs w:val="22"/>
                    </w:rPr>
                  </w:pPr>
                  <w:r w:rsidRPr="009B617E">
                    <w:rPr>
                      <w:sz w:val="22"/>
                      <w:szCs w:val="22"/>
                    </w:rPr>
                    <w:t>D</w:t>
                  </w:r>
                  <w:r w:rsidRPr="009B617E">
                    <w:rPr>
                      <w:sz w:val="22"/>
                      <w:szCs w:val="22"/>
                      <w:vertAlign w:val="subscript"/>
                    </w:rPr>
                    <w:t>L</w:t>
                  </w:r>
                  <w:r w:rsidRPr="009B617E">
                    <w:rPr>
                      <w:sz w:val="22"/>
                      <w:szCs w:val="22"/>
                    </w:rPr>
                    <w:t>CO (%pred)</w:t>
                  </w:r>
                </w:p>
              </w:tc>
              <w:tc>
                <w:tcPr>
                  <w:tcW w:w="2445" w:type="dxa"/>
                  <w:hideMark/>
                </w:tcPr>
                <w:p w14:paraId="71757872" w14:textId="789977C0"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88±17.8</w:t>
                  </w:r>
                </w:p>
              </w:tc>
              <w:tc>
                <w:tcPr>
                  <w:tcW w:w="1918" w:type="dxa"/>
                  <w:hideMark/>
                </w:tcPr>
                <w:p w14:paraId="429A9112"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w:t>
                  </w:r>
                </w:p>
              </w:tc>
            </w:tr>
            <w:tr w:rsidR="009B617E" w:rsidRPr="009B617E" w14:paraId="0A82D3AA" w14:textId="77777777" w:rsidTr="009B617E">
              <w:trPr>
                <w:trHeight w:val="328"/>
              </w:trPr>
              <w:tc>
                <w:tcPr>
                  <w:cnfStyle w:val="001000000000" w:firstRow="0" w:lastRow="0" w:firstColumn="1" w:lastColumn="0" w:oddVBand="0" w:evenVBand="0" w:oddHBand="0" w:evenHBand="0" w:firstRowFirstColumn="0" w:firstRowLastColumn="0" w:lastRowFirstColumn="0" w:lastRowLastColumn="0"/>
                  <w:tcW w:w="3556" w:type="dxa"/>
                  <w:hideMark/>
                </w:tcPr>
                <w:p w14:paraId="5390AB54" w14:textId="08C4C595" w:rsidR="0049054B" w:rsidRPr="009B617E" w:rsidRDefault="0049054B" w:rsidP="0049054B">
                  <w:pPr>
                    <w:pStyle w:val="Default"/>
                    <w:rPr>
                      <w:sz w:val="22"/>
                      <w:szCs w:val="22"/>
                    </w:rPr>
                  </w:pPr>
                  <w:r w:rsidRPr="009B617E">
                    <w:rPr>
                      <w:sz w:val="22"/>
                      <w:szCs w:val="22"/>
                    </w:rPr>
                    <w:t>TLC (%pred)</w:t>
                  </w:r>
                </w:p>
              </w:tc>
              <w:tc>
                <w:tcPr>
                  <w:tcW w:w="2445" w:type="dxa"/>
                  <w:hideMark/>
                </w:tcPr>
                <w:p w14:paraId="70098636" w14:textId="705A8063"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91±11.6</w:t>
                  </w:r>
                </w:p>
              </w:tc>
              <w:tc>
                <w:tcPr>
                  <w:tcW w:w="1918" w:type="dxa"/>
                  <w:hideMark/>
                </w:tcPr>
                <w:p w14:paraId="386EB782"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w:t>
                  </w:r>
                </w:p>
              </w:tc>
            </w:tr>
            <w:tr w:rsidR="005456F6" w:rsidRPr="009B617E" w14:paraId="379F654A" w14:textId="77777777" w:rsidTr="009B617E">
              <w:trPr>
                <w:trHeight w:val="61"/>
              </w:trPr>
              <w:tc>
                <w:tcPr>
                  <w:cnfStyle w:val="001000000000" w:firstRow="0" w:lastRow="0" w:firstColumn="1" w:lastColumn="0" w:oddVBand="0" w:evenVBand="0" w:oddHBand="0" w:evenHBand="0" w:firstRowFirstColumn="0" w:firstRowLastColumn="0" w:lastRowFirstColumn="0" w:lastRowLastColumn="0"/>
                  <w:tcW w:w="3556" w:type="dxa"/>
                  <w:hideMark/>
                </w:tcPr>
                <w:p w14:paraId="57FEE7A4" w14:textId="22A45241" w:rsidR="0049054B" w:rsidRPr="009B617E" w:rsidRDefault="0049054B" w:rsidP="0049054B">
                  <w:pPr>
                    <w:pStyle w:val="Default"/>
                    <w:rPr>
                      <w:sz w:val="22"/>
                      <w:szCs w:val="22"/>
                    </w:rPr>
                  </w:pPr>
                  <w:r w:rsidRPr="009B617E">
                    <w:rPr>
                      <w:sz w:val="22"/>
                      <w:szCs w:val="22"/>
                    </w:rPr>
                    <w:t>LOS (days)</w:t>
                  </w:r>
                </w:p>
              </w:tc>
              <w:tc>
                <w:tcPr>
                  <w:tcW w:w="2445" w:type="dxa"/>
                  <w:hideMark/>
                </w:tcPr>
                <w:p w14:paraId="690951F9" w14:textId="1E099B5E"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8.9±3.5</w:t>
                  </w:r>
                </w:p>
              </w:tc>
              <w:tc>
                <w:tcPr>
                  <w:tcW w:w="1918" w:type="dxa"/>
                  <w:hideMark/>
                </w:tcPr>
                <w:p w14:paraId="259A9DAB"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lang w:val="en-AU"/>
                    </w:rPr>
                    <w:t>8.2 ± 2.8</w:t>
                  </w:r>
                </w:p>
              </w:tc>
            </w:tr>
            <w:tr w:rsidR="009B617E" w:rsidRPr="009B617E" w14:paraId="6034ED48" w14:textId="77777777" w:rsidTr="009B617E">
              <w:trPr>
                <w:trHeight w:val="61"/>
              </w:trPr>
              <w:tc>
                <w:tcPr>
                  <w:cnfStyle w:val="001000000000" w:firstRow="0" w:lastRow="0" w:firstColumn="1" w:lastColumn="0" w:oddVBand="0" w:evenVBand="0" w:oddHBand="0" w:evenHBand="0" w:firstRowFirstColumn="0" w:firstRowLastColumn="0" w:lastRowFirstColumn="0" w:lastRowLastColumn="0"/>
                  <w:tcW w:w="3556" w:type="dxa"/>
                  <w:hideMark/>
                </w:tcPr>
                <w:p w14:paraId="78FD9C40" w14:textId="77777777" w:rsidR="0049054B" w:rsidRPr="009B617E" w:rsidRDefault="0049054B" w:rsidP="0049054B">
                  <w:pPr>
                    <w:pStyle w:val="Default"/>
                    <w:rPr>
                      <w:sz w:val="22"/>
                      <w:szCs w:val="22"/>
                    </w:rPr>
                  </w:pPr>
                  <w:r w:rsidRPr="009B617E">
                    <w:rPr>
                      <w:sz w:val="22"/>
                      <w:szCs w:val="22"/>
                    </w:rPr>
                    <w:t>Peri-operative complication (n)</w:t>
                  </w:r>
                </w:p>
              </w:tc>
              <w:tc>
                <w:tcPr>
                  <w:tcW w:w="2445" w:type="dxa"/>
                  <w:hideMark/>
                </w:tcPr>
                <w:p w14:paraId="34603152"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2 (6.7%)</w:t>
                  </w:r>
                </w:p>
              </w:tc>
              <w:tc>
                <w:tcPr>
                  <w:tcW w:w="1918" w:type="dxa"/>
                  <w:hideMark/>
                </w:tcPr>
                <w:p w14:paraId="6950EA2F"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6 (14.3%)</w:t>
                  </w:r>
                </w:p>
              </w:tc>
            </w:tr>
            <w:tr w:rsidR="005456F6" w:rsidRPr="009B617E" w14:paraId="6A147C19" w14:textId="77777777" w:rsidTr="009B617E">
              <w:trPr>
                <w:trHeight w:val="61"/>
              </w:trPr>
              <w:tc>
                <w:tcPr>
                  <w:cnfStyle w:val="001000000000" w:firstRow="0" w:lastRow="0" w:firstColumn="1" w:lastColumn="0" w:oddVBand="0" w:evenVBand="0" w:oddHBand="0" w:evenHBand="0" w:firstRowFirstColumn="0" w:firstRowLastColumn="0" w:lastRowFirstColumn="0" w:lastRowLastColumn="0"/>
                  <w:tcW w:w="3556" w:type="dxa"/>
                  <w:hideMark/>
                </w:tcPr>
                <w:p w14:paraId="697FC5AF" w14:textId="77777777" w:rsidR="0049054B" w:rsidRPr="009B617E" w:rsidRDefault="0049054B" w:rsidP="0049054B">
                  <w:pPr>
                    <w:pStyle w:val="Default"/>
                    <w:rPr>
                      <w:sz w:val="22"/>
                      <w:szCs w:val="22"/>
                    </w:rPr>
                  </w:pPr>
                  <w:r w:rsidRPr="009B617E">
                    <w:rPr>
                      <w:sz w:val="22"/>
                      <w:szCs w:val="22"/>
                    </w:rPr>
                    <w:t xml:space="preserve">     Respiratory (n)</w:t>
                  </w:r>
                </w:p>
              </w:tc>
              <w:tc>
                <w:tcPr>
                  <w:tcW w:w="2445" w:type="dxa"/>
                  <w:hideMark/>
                </w:tcPr>
                <w:p w14:paraId="65CFC54E"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0 (0%)</w:t>
                  </w:r>
                </w:p>
              </w:tc>
              <w:tc>
                <w:tcPr>
                  <w:tcW w:w="1918" w:type="dxa"/>
                  <w:hideMark/>
                </w:tcPr>
                <w:p w14:paraId="6ED12F67"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2 (4.8%)</w:t>
                  </w:r>
                </w:p>
              </w:tc>
            </w:tr>
            <w:tr w:rsidR="009B617E" w:rsidRPr="009B617E" w14:paraId="4657BA67" w14:textId="77777777" w:rsidTr="009B617E">
              <w:trPr>
                <w:trHeight w:val="61"/>
              </w:trPr>
              <w:tc>
                <w:tcPr>
                  <w:cnfStyle w:val="001000000000" w:firstRow="0" w:lastRow="0" w:firstColumn="1" w:lastColumn="0" w:oddVBand="0" w:evenVBand="0" w:oddHBand="0" w:evenHBand="0" w:firstRowFirstColumn="0" w:firstRowLastColumn="0" w:lastRowFirstColumn="0" w:lastRowLastColumn="0"/>
                  <w:tcW w:w="3556" w:type="dxa"/>
                  <w:hideMark/>
                </w:tcPr>
                <w:p w14:paraId="2EE9CAB0" w14:textId="77777777" w:rsidR="0049054B" w:rsidRPr="009B617E" w:rsidRDefault="0049054B" w:rsidP="0049054B">
                  <w:pPr>
                    <w:pStyle w:val="Default"/>
                    <w:rPr>
                      <w:sz w:val="22"/>
                      <w:szCs w:val="22"/>
                    </w:rPr>
                  </w:pPr>
                  <w:r w:rsidRPr="009B617E">
                    <w:rPr>
                      <w:sz w:val="22"/>
                      <w:szCs w:val="22"/>
                    </w:rPr>
                    <w:t>Post-operative complication (n)</w:t>
                  </w:r>
                </w:p>
              </w:tc>
              <w:tc>
                <w:tcPr>
                  <w:tcW w:w="2445" w:type="dxa"/>
                  <w:hideMark/>
                </w:tcPr>
                <w:p w14:paraId="5A11823A"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11 (37%)</w:t>
                  </w:r>
                </w:p>
              </w:tc>
              <w:tc>
                <w:tcPr>
                  <w:tcW w:w="1918" w:type="dxa"/>
                  <w:hideMark/>
                </w:tcPr>
                <w:p w14:paraId="6CBDBF10"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27 (64%)</w:t>
                  </w:r>
                </w:p>
              </w:tc>
            </w:tr>
            <w:tr w:rsidR="005456F6" w:rsidRPr="009B617E" w14:paraId="55DBFA15" w14:textId="77777777" w:rsidTr="009B617E">
              <w:trPr>
                <w:trHeight w:val="61"/>
              </w:trPr>
              <w:tc>
                <w:tcPr>
                  <w:cnfStyle w:val="001000000000" w:firstRow="0" w:lastRow="0" w:firstColumn="1" w:lastColumn="0" w:oddVBand="0" w:evenVBand="0" w:oddHBand="0" w:evenHBand="0" w:firstRowFirstColumn="0" w:firstRowLastColumn="0" w:lastRowFirstColumn="0" w:lastRowLastColumn="0"/>
                  <w:tcW w:w="3556" w:type="dxa"/>
                  <w:hideMark/>
                </w:tcPr>
                <w:p w14:paraId="2E96E958" w14:textId="77777777" w:rsidR="0049054B" w:rsidRPr="009B617E" w:rsidRDefault="0049054B" w:rsidP="0049054B">
                  <w:pPr>
                    <w:pStyle w:val="Default"/>
                    <w:rPr>
                      <w:sz w:val="22"/>
                      <w:szCs w:val="22"/>
                    </w:rPr>
                  </w:pPr>
                  <w:r w:rsidRPr="009B617E">
                    <w:rPr>
                      <w:sz w:val="22"/>
                      <w:szCs w:val="22"/>
                    </w:rPr>
                    <w:t xml:space="preserve">     Respiratory (n)</w:t>
                  </w:r>
                </w:p>
              </w:tc>
              <w:tc>
                <w:tcPr>
                  <w:tcW w:w="2445" w:type="dxa"/>
                  <w:hideMark/>
                </w:tcPr>
                <w:p w14:paraId="6E82AC55"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0 (0%)</w:t>
                  </w:r>
                </w:p>
              </w:tc>
              <w:tc>
                <w:tcPr>
                  <w:tcW w:w="1918" w:type="dxa"/>
                  <w:hideMark/>
                </w:tcPr>
                <w:p w14:paraId="261A3124" w14:textId="77777777" w:rsidR="0049054B" w:rsidRPr="009B617E" w:rsidRDefault="0049054B" w:rsidP="0049054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9B617E">
                    <w:rPr>
                      <w:sz w:val="22"/>
                      <w:szCs w:val="22"/>
                    </w:rPr>
                    <w:t>4 (9.5%)</w:t>
                  </w:r>
                </w:p>
              </w:tc>
            </w:tr>
          </w:tbl>
          <w:p w14:paraId="55C4A41D" w14:textId="77777777" w:rsidR="0062670B" w:rsidRDefault="0062670B" w:rsidP="009C1987">
            <w:pPr>
              <w:pStyle w:val="Pa12"/>
              <w:rPr>
                <w:rStyle w:val="A4"/>
                <w:b/>
                <w:bCs/>
              </w:rPr>
            </w:pPr>
          </w:p>
          <w:p w14:paraId="6C68AC98" w14:textId="57A44E7E" w:rsidR="006D4713" w:rsidRPr="009B617E" w:rsidRDefault="006D4713" w:rsidP="009C1987">
            <w:pPr>
              <w:pStyle w:val="Pa12"/>
              <w:rPr>
                <w:rStyle w:val="A4"/>
                <w:b/>
                <w:bCs/>
              </w:rPr>
            </w:pPr>
            <w:r w:rsidRPr="009B617E">
              <w:rPr>
                <w:rStyle w:val="A4"/>
                <w:b/>
                <w:bCs/>
              </w:rPr>
              <w:t xml:space="preserve">Conclusion: </w:t>
            </w:r>
            <w:r w:rsidR="003C1035" w:rsidRPr="009B617E">
              <w:rPr>
                <w:sz w:val="22"/>
                <w:szCs w:val="22"/>
              </w:rPr>
              <w:t>Post-operative adverse events related to respiratory function are infrequent in patients undergoing scoliosis corrective surgery, with only one event observed across both study periods. In this small study, performing limited PFTs did not result in</w:t>
            </w:r>
            <w:r w:rsidR="00C323EE">
              <w:rPr>
                <w:sz w:val="22"/>
                <w:szCs w:val="22"/>
              </w:rPr>
              <w:t xml:space="preserve"> increased</w:t>
            </w:r>
            <w:r w:rsidR="003C1035" w:rsidRPr="009B617E">
              <w:rPr>
                <w:sz w:val="22"/>
                <w:szCs w:val="22"/>
              </w:rPr>
              <w:t xml:space="preserve"> respiratory AEs</w:t>
            </w:r>
            <w:r w:rsidR="00C323EE">
              <w:rPr>
                <w:sz w:val="22"/>
                <w:szCs w:val="22"/>
              </w:rPr>
              <w:t xml:space="preserve">, </w:t>
            </w:r>
            <w:r w:rsidR="00E00F8B">
              <w:rPr>
                <w:sz w:val="22"/>
                <w:szCs w:val="22"/>
              </w:rPr>
              <w:t>indicating</w:t>
            </w:r>
            <w:r w:rsidR="00C323EE">
              <w:rPr>
                <w:sz w:val="22"/>
                <w:szCs w:val="22"/>
              </w:rPr>
              <w:t xml:space="preserve"> comprehensive respiratory </w:t>
            </w:r>
            <w:r w:rsidR="00172882">
              <w:rPr>
                <w:sz w:val="22"/>
                <w:szCs w:val="22"/>
              </w:rPr>
              <w:t xml:space="preserve">testing </w:t>
            </w:r>
            <w:r w:rsidR="00E00F8B">
              <w:rPr>
                <w:sz w:val="22"/>
                <w:szCs w:val="22"/>
              </w:rPr>
              <w:t>may not be</w:t>
            </w:r>
            <w:r w:rsidR="00C323EE">
              <w:rPr>
                <w:sz w:val="22"/>
                <w:szCs w:val="22"/>
              </w:rPr>
              <w:t xml:space="preserve"> required </w:t>
            </w:r>
            <w:r w:rsidR="00E00F8B">
              <w:rPr>
                <w:sz w:val="22"/>
                <w:szCs w:val="22"/>
              </w:rPr>
              <w:t>prior to surgery</w:t>
            </w:r>
            <w:r w:rsidR="00C323EE">
              <w:rPr>
                <w:sz w:val="22"/>
                <w:szCs w:val="22"/>
              </w:rPr>
              <w:t>.</w:t>
            </w:r>
          </w:p>
          <w:p w14:paraId="2619F117" w14:textId="77777777" w:rsidR="003C1035" w:rsidRPr="009B617E" w:rsidRDefault="003C1035" w:rsidP="009C1987">
            <w:pPr>
              <w:pStyle w:val="Pa12"/>
              <w:rPr>
                <w:rStyle w:val="A4"/>
                <w:b/>
                <w:bCs/>
              </w:rPr>
            </w:pPr>
          </w:p>
          <w:p w14:paraId="54B5B371" w14:textId="18853B44" w:rsidR="009B617E" w:rsidRDefault="006D4713" w:rsidP="009C1987">
            <w:pPr>
              <w:pStyle w:val="Pa12"/>
              <w:rPr>
                <w:rStyle w:val="A4"/>
              </w:rPr>
            </w:pPr>
            <w:r w:rsidRPr="009B617E">
              <w:rPr>
                <w:rStyle w:val="A4"/>
                <w:b/>
                <w:bCs/>
              </w:rPr>
              <w:t>Key Words</w:t>
            </w:r>
            <w:r w:rsidRPr="009B617E">
              <w:rPr>
                <w:rStyle w:val="A4"/>
                <w:b/>
              </w:rPr>
              <w:t>:</w:t>
            </w:r>
            <w:r w:rsidR="003C1035" w:rsidRPr="009B617E">
              <w:rPr>
                <w:rStyle w:val="A4"/>
                <w:b/>
              </w:rPr>
              <w:t xml:space="preserve"> </w:t>
            </w:r>
            <w:r w:rsidR="003C1035" w:rsidRPr="009B617E">
              <w:rPr>
                <w:rStyle w:val="A4"/>
              </w:rPr>
              <w:t>Spirometry, scoliosis, pre-operative</w:t>
            </w:r>
          </w:p>
          <w:p w14:paraId="1907C6E5" w14:textId="21ADED5F" w:rsidR="009B617E" w:rsidRDefault="006D4713" w:rsidP="009C1987">
            <w:pPr>
              <w:pStyle w:val="Pa12"/>
              <w:rPr>
                <w:rStyle w:val="A4"/>
              </w:rPr>
            </w:pPr>
            <w:r w:rsidRPr="009B617E">
              <w:rPr>
                <w:rStyle w:val="A4"/>
                <w:b/>
                <w:bCs/>
              </w:rPr>
              <w:t xml:space="preserve">Nomination for </w:t>
            </w:r>
            <w:r w:rsidR="00361F7E" w:rsidRPr="009B617E">
              <w:rPr>
                <w:rStyle w:val="A4"/>
                <w:b/>
                <w:bCs/>
              </w:rPr>
              <w:t xml:space="preserve">New </w:t>
            </w:r>
            <w:r w:rsidRPr="009B617E">
              <w:rPr>
                <w:rStyle w:val="A4"/>
                <w:b/>
                <w:bCs/>
              </w:rPr>
              <w:t>Investigator Award</w:t>
            </w:r>
            <w:r w:rsidR="003C1035" w:rsidRPr="009B617E">
              <w:rPr>
                <w:rStyle w:val="A4"/>
                <w:b/>
                <w:bCs/>
              </w:rPr>
              <w:t xml:space="preserve">: </w:t>
            </w:r>
            <w:r w:rsidR="003C1035" w:rsidRPr="009B617E">
              <w:rPr>
                <w:rStyle w:val="A4"/>
              </w:rPr>
              <w:t>No</w:t>
            </w:r>
          </w:p>
          <w:p w14:paraId="6C68AC9C" w14:textId="59B1E76B" w:rsidR="006D4713" w:rsidRPr="009B617E" w:rsidRDefault="006D4713" w:rsidP="009C1987">
            <w:pPr>
              <w:pStyle w:val="Pa12"/>
              <w:rPr>
                <w:rStyle w:val="A4"/>
                <w:b/>
                <w:bCs/>
              </w:rPr>
            </w:pPr>
            <w:r w:rsidRPr="009B617E">
              <w:rPr>
                <w:rStyle w:val="A4"/>
                <w:b/>
                <w:bCs/>
              </w:rPr>
              <w:t xml:space="preserve">Grant Support: </w:t>
            </w:r>
            <w:r w:rsidR="003C1035" w:rsidRPr="009B617E">
              <w:rPr>
                <w:rStyle w:val="A4"/>
              </w:rPr>
              <w:t>Nil</w:t>
            </w:r>
          </w:p>
          <w:p w14:paraId="6C68AC9D" w14:textId="77777777" w:rsidR="006D4713" w:rsidRPr="009B617E" w:rsidRDefault="00C91C8C" w:rsidP="009C1987">
            <w:pPr>
              <w:pStyle w:val="Pa12"/>
              <w:rPr>
                <w:sz w:val="22"/>
                <w:szCs w:val="22"/>
              </w:rPr>
            </w:pPr>
            <w:r w:rsidRPr="009B617E">
              <w:rPr>
                <w:sz w:val="22"/>
                <w:szCs w:val="22"/>
              </w:rPr>
              <w:br/>
            </w:r>
            <w:r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r w:rsidR="006D4713" w:rsidRPr="009B617E">
              <w:rPr>
                <w:sz w:val="22"/>
                <w:szCs w:val="22"/>
              </w:rPr>
              <w:br/>
            </w:r>
          </w:p>
          <w:p w14:paraId="6C68AC9E" w14:textId="77777777" w:rsidR="006D4713" w:rsidRPr="009B617E" w:rsidRDefault="006D4713" w:rsidP="009C1987">
            <w:pPr>
              <w:pStyle w:val="Default"/>
              <w:rPr>
                <w:sz w:val="22"/>
                <w:szCs w:val="22"/>
              </w:rPr>
            </w:pPr>
          </w:p>
          <w:p w14:paraId="6C68AC9F" w14:textId="77777777" w:rsidR="006D4713" w:rsidRPr="009B617E" w:rsidRDefault="006D4713" w:rsidP="009C1987">
            <w:pPr>
              <w:pStyle w:val="Default"/>
              <w:rPr>
                <w:sz w:val="22"/>
                <w:szCs w:val="22"/>
              </w:rPr>
            </w:pPr>
          </w:p>
          <w:p w14:paraId="6C68ACA0" w14:textId="77777777" w:rsidR="006D4713" w:rsidRPr="009B617E" w:rsidRDefault="006D4713" w:rsidP="009C1987">
            <w:pPr>
              <w:pStyle w:val="Pa12"/>
              <w:rPr>
                <w:rStyle w:val="A4"/>
                <w:bCs/>
              </w:rPr>
            </w:pP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r w:rsidRPr="009B617E">
              <w:rPr>
                <w:rStyle w:val="A4"/>
                <w:bCs/>
              </w:rPr>
              <w:br/>
            </w:r>
          </w:p>
          <w:p w14:paraId="6C68ACA1" w14:textId="77777777" w:rsidR="006D4713" w:rsidRPr="009B617E" w:rsidRDefault="006D4713" w:rsidP="009C1987">
            <w:pPr>
              <w:pStyle w:val="Default"/>
              <w:rPr>
                <w:rStyle w:val="A4"/>
                <w:bCs/>
              </w:rPr>
            </w:pPr>
          </w:p>
          <w:p w14:paraId="6C68ACA2" w14:textId="77777777" w:rsidR="006D4713" w:rsidRPr="009B617E" w:rsidRDefault="006D4713" w:rsidP="009C1987">
            <w:pPr>
              <w:pStyle w:val="Default"/>
              <w:rPr>
                <w:sz w:val="22"/>
                <w:szCs w:val="22"/>
                <w:lang w:val="en-US" w:eastAsia="en-GB"/>
              </w:rPr>
            </w:pP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r w:rsidRPr="009B617E">
              <w:rPr>
                <w:sz w:val="22"/>
                <w:szCs w:val="22"/>
                <w:lang w:val="en-US" w:eastAsia="en-GB"/>
              </w:rPr>
              <w:br/>
            </w:r>
          </w:p>
        </w:tc>
      </w:tr>
    </w:tbl>
    <w:p w14:paraId="6C68ACA4" w14:textId="77777777" w:rsidR="00EE3EA8" w:rsidRDefault="00EE3EA8"/>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114535"/>
    <w:rsid w:val="001447C4"/>
    <w:rsid w:val="00172882"/>
    <w:rsid w:val="00220350"/>
    <w:rsid w:val="00260B4C"/>
    <w:rsid w:val="002B4988"/>
    <w:rsid w:val="00323005"/>
    <w:rsid w:val="00361F7E"/>
    <w:rsid w:val="00380CE2"/>
    <w:rsid w:val="003C1035"/>
    <w:rsid w:val="003F0690"/>
    <w:rsid w:val="00487EC0"/>
    <w:rsid w:val="0049054B"/>
    <w:rsid w:val="004C718F"/>
    <w:rsid w:val="00516241"/>
    <w:rsid w:val="005456F6"/>
    <w:rsid w:val="00546DCA"/>
    <w:rsid w:val="005B3C80"/>
    <w:rsid w:val="005C2F42"/>
    <w:rsid w:val="0062670B"/>
    <w:rsid w:val="006438E9"/>
    <w:rsid w:val="006D4713"/>
    <w:rsid w:val="00745D66"/>
    <w:rsid w:val="00752808"/>
    <w:rsid w:val="007636A6"/>
    <w:rsid w:val="00785C6F"/>
    <w:rsid w:val="007D28F4"/>
    <w:rsid w:val="008F5D0C"/>
    <w:rsid w:val="009656B9"/>
    <w:rsid w:val="009B617E"/>
    <w:rsid w:val="009C0170"/>
    <w:rsid w:val="00A02E17"/>
    <w:rsid w:val="00A60457"/>
    <w:rsid w:val="00B218CA"/>
    <w:rsid w:val="00BC0DCE"/>
    <w:rsid w:val="00BE79B2"/>
    <w:rsid w:val="00BF185B"/>
    <w:rsid w:val="00C30A9F"/>
    <w:rsid w:val="00C323EE"/>
    <w:rsid w:val="00C91C8C"/>
    <w:rsid w:val="00CC5DB5"/>
    <w:rsid w:val="00D02B65"/>
    <w:rsid w:val="00D4214E"/>
    <w:rsid w:val="00E006E3"/>
    <w:rsid w:val="00E00F8B"/>
    <w:rsid w:val="00E26432"/>
    <w:rsid w:val="00EE3EA8"/>
    <w:rsid w:val="00EF76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table" w:styleId="LightList">
    <w:name w:val="Light List"/>
    <w:basedOn w:val="TableNormal"/>
    <w:uiPriority w:val="61"/>
    <w:semiHidden/>
    <w:unhideWhenUsed/>
    <w:rsid w:val="0049054B"/>
    <w:pPr>
      <w:spacing w:after="0" w:line="240" w:lineRule="auto"/>
    </w:pPr>
    <w:rPr>
      <w:lang w:val="en-AU"/>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5456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56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56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6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56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4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456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2670B"/>
    <w:rPr>
      <w:sz w:val="16"/>
      <w:szCs w:val="16"/>
    </w:rPr>
  </w:style>
  <w:style w:type="paragraph" w:styleId="CommentText">
    <w:name w:val="annotation text"/>
    <w:basedOn w:val="Normal"/>
    <w:link w:val="CommentTextChar"/>
    <w:uiPriority w:val="99"/>
    <w:semiHidden/>
    <w:unhideWhenUsed/>
    <w:rsid w:val="0062670B"/>
    <w:rPr>
      <w:sz w:val="20"/>
      <w:szCs w:val="20"/>
    </w:rPr>
  </w:style>
  <w:style w:type="character" w:customStyle="1" w:styleId="CommentTextChar">
    <w:name w:val="Comment Text Char"/>
    <w:basedOn w:val="DefaultParagraphFont"/>
    <w:link w:val="CommentText"/>
    <w:uiPriority w:val="99"/>
    <w:semiHidden/>
    <w:rsid w:val="0062670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7044">
      <w:bodyDiv w:val="1"/>
      <w:marLeft w:val="0"/>
      <w:marRight w:val="0"/>
      <w:marTop w:val="0"/>
      <w:marBottom w:val="0"/>
      <w:divBdr>
        <w:top w:val="none" w:sz="0" w:space="0" w:color="auto"/>
        <w:left w:val="none" w:sz="0" w:space="0" w:color="auto"/>
        <w:bottom w:val="none" w:sz="0" w:space="0" w:color="auto"/>
        <w:right w:val="none" w:sz="0" w:space="0" w:color="auto"/>
      </w:divBdr>
    </w:div>
    <w:div w:id="12554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0A034-3CE3-4046-9BD9-8F5BBDBD3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onsite6</dc:creator>
  <cp:lastModifiedBy>Sinead Litt</cp:lastModifiedBy>
  <cp:revision>3</cp:revision>
  <dcterms:created xsi:type="dcterms:W3CDTF">2023-10-20T01:04:00Z</dcterms:created>
  <dcterms:modified xsi:type="dcterms:W3CDTF">2023-10-20T23:15:00Z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