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2003E176" w14:textId="32C5E095" w:rsidR="00C8423A" w:rsidRPr="00845162" w:rsidRDefault="00845162" w:rsidP="00706DED">
            <w:pPr>
              <w:jc w:val="both"/>
              <w:rPr>
                <w:rFonts w:ascii="Arial" w:hAnsi="Arial" w:cs="Arial"/>
                <w:bCs/>
                <w:i/>
                <w:iCs/>
                <w:sz w:val="22"/>
                <w:szCs w:val="22"/>
              </w:rPr>
            </w:pPr>
            <w:r w:rsidRPr="00845162">
              <w:rPr>
                <w:rFonts w:ascii="Arial" w:hAnsi="Arial" w:cs="Arial"/>
                <w:bCs/>
                <w:i/>
                <w:iCs/>
                <w:sz w:val="22"/>
                <w:szCs w:val="22"/>
              </w:rPr>
              <w:t>Paper</w:t>
            </w:r>
          </w:p>
          <w:p w14:paraId="1D65634B" w14:textId="6AFFBAEC" w:rsidR="005E5E1E" w:rsidRPr="00845162" w:rsidRDefault="005E5E1E" w:rsidP="00706DED">
            <w:pPr>
              <w:jc w:val="both"/>
              <w:rPr>
                <w:rFonts w:ascii="Arial" w:hAnsi="Arial" w:cs="Arial"/>
                <w:b/>
                <w:bCs/>
                <w:sz w:val="22"/>
                <w:szCs w:val="22"/>
              </w:rPr>
            </w:pPr>
            <w:r w:rsidRPr="00845162">
              <w:rPr>
                <w:rFonts w:ascii="Arial" w:hAnsi="Arial" w:cs="Arial"/>
                <w:b/>
                <w:bCs/>
                <w:sz w:val="22"/>
                <w:szCs w:val="22"/>
              </w:rPr>
              <w:t>“We are still here not by luck but by design”. Indigenous Innovation, climate resilience and adaptation in the Pacific Islands.</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2B043680" w14:textId="5783FA43" w:rsidR="005E5E1E" w:rsidRPr="005E5E1E" w:rsidRDefault="005E5E1E" w:rsidP="00706DED">
            <w:pPr>
              <w:jc w:val="both"/>
              <w:rPr>
                <w:rFonts w:ascii="Arial" w:hAnsi="Arial" w:cs="Arial"/>
                <w:bCs/>
                <w:sz w:val="22"/>
                <w:szCs w:val="22"/>
              </w:rPr>
            </w:pPr>
            <w:r w:rsidRPr="005E5E1E">
              <w:rPr>
                <w:rFonts w:ascii="Arial" w:hAnsi="Arial" w:cs="Arial"/>
                <w:bCs/>
                <w:sz w:val="22"/>
                <w:szCs w:val="22"/>
              </w:rPr>
              <w:t xml:space="preserve">Indigenous innovation in the Pacific represents a radical, design-informed approach to climate resilience that has endured and adapted over millennia. Pacific communities’ worldviews and practices have demonstrated enduring relevance and resilience not by chance but through intentional design. The challenges these communities face are complex and multilayered, extending beyond acute disasters like cyclones which need multidisciplinary </w:t>
            </w:r>
            <w:proofErr w:type="spellStart"/>
            <w:r w:rsidRPr="005E5E1E">
              <w:rPr>
                <w:rFonts w:ascii="Arial" w:hAnsi="Arial" w:cs="Arial"/>
                <w:bCs/>
                <w:sz w:val="22"/>
                <w:szCs w:val="22"/>
              </w:rPr>
              <w:t>approach</w:t>
            </w:r>
            <w:r w:rsidRPr="005E5E1E">
              <w:rPr>
                <w:rFonts w:ascii="Arial" w:hAnsi="Arial" w:cs="Arial"/>
                <w:bCs/>
                <w:sz w:val="22"/>
                <w:szCs w:val="22"/>
                <w:vertAlign w:val="superscript"/>
              </w:rPr>
              <w:t>i</w:t>
            </w:r>
            <w:proofErr w:type="spellEnd"/>
            <w:r w:rsidRPr="005E5E1E">
              <w:rPr>
                <w:rFonts w:ascii="Arial" w:hAnsi="Arial" w:cs="Arial"/>
                <w:bCs/>
                <w:sz w:val="22"/>
                <w:szCs w:val="22"/>
              </w:rPr>
              <w:t xml:space="preserve">. While the Intergovernmental Panel on Climate Change (IPCC) and scientific research have documented climate impacts, there is a critical gap in translating this evidence into actionable, culturally responsive solutions. This underscores the need to rethink scientific frameworks to prioritise and integrate the lived experiences, historical knowledge, and Indigenous innovation of local </w:t>
            </w:r>
            <w:proofErr w:type="spellStart"/>
            <w:r w:rsidRPr="005E5E1E">
              <w:rPr>
                <w:rFonts w:ascii="Arial" w:hAnsi="Arial" w:cs="Arial"/>
                <w:bCs/>
                <w:sz w:val="22"/>
                <w:szCs w:val="22"/>
              </w:rPr>
              <w:t>communities</w:t>
            </w:r>
            <w:r w:rsidRPr="005E5E1E">
              <w:rPr>
                <w:rFonts w:ascii="Arial" w:hAnsi="Arial" w:cs="Arial"/>
                <w:bCs/>
                <w:sz w:val="22"/>
                <w:szCs w:val="22"/>
                <w:vertAlign w:val="superscript"/>
              </w:rPr>
              <w:t>ii</w:t>
            </w:r>
            <w:proofErr w:type="spellEnd"/>
            <w:r w:rsidRPr="005E5E1E">
              <w:rPr>
                <w:rFonts w:ascii="Arial" w:hAnsi="Arial" w:cs="Arial"/>
                <w:bCs/>
                <w:sz w:val="22"/>
                <w:szCs w:val="22"/>
              </w:rPr>
              <w:t xml:space="preserve">. By centring climate resilience and adaptation practices of those on the ground—those who have long navigated environmental challenges through generations of accumulated knowledge—this research highlights the transformative potential of Indigenous </w:t>
            </w:r>
            <w:proofErr w:type="spellStart"/>
            <w:r w:rsidRPr="005E5E1E">
              <w:rPr>
                <w:rFonts w:ascii="Arial" w:hAnsi="Arial" w:cs="Arial"/>
                <w:bCs/>
                <w:sz w:val="22"/>
                <w:szCs w:val="22"/>
              </w:rPr>
              <w:t>innovation</w:t>
            </w:r>
            <w:r w:rsidRPr="005E5E1E">
              <w:rPr>
                <w:rFonts w:ascii="Arial" w:hAnsi="Arial" w:cs="Arial"/>
                <w:bCs/>
                <w:sz w:val="22"/>
                <w:szCs w:val="22"/>
                <w:vertAlign w:val="superscript"/>
              </w:rPr>
              <w:t>iii</w:t>
            </w:r>
            <w:proofErr w:type="spellEnd"/>
            <w:r w:rsidRPr="005E5E1E">
              <w:rPr>
                <w:rFonts w:ascii="Arial" w:hAnsi="Arial" w:cs="Arial"/>
                <w:bCs/>
                <w:sz w:val="22"/>
                <w:szCs w:val="22"/>
              </w:rPr>
              <w:t>.</w:t>
            </w:r>
          </w:p>
          <w:p w14:paraId="4806BFDB" w14:textId="77777777" w:rsidR="0065012F" w:rsidRDefault="0065012F" w:rsidP="00706DED">
            <w:pPr>
              <w:jc w:val="both"/>
              <w:rPr>
                <w:rFonts w:ascii="Arial" w:hAnsi="Arial" w:cs="Arial"/>
                <w:b/>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06B83A01" w14:textId="77777777" w:rsidR="005E5E1E" w:rsidRDefault="005E5E1E" w:rsidP="00706DED">
            <w:pPr>
              <w:jc w:val="both"/>
              <w:rPr>
                <w:rFonts w:ascii="Arial" w:hAnsi="Arial" w:cs="Arial"/>
                <w:b/>
                <w:sz w:val="22"/>
                <w:szCs w:val="22"/>
              </w:rPr>
            </w:pPr>
          </w:p>
          <w:p w14:paraId="1F3357AE" w14:textId="77777777" w:rsidR="005E5E1E" w:rsidRPr="005E5E1E" w:rsidRDefault="005E5E1E" w:rsidP="005E5E1E">
            <w:pPr>
              <w:pStyle w:val="ListParagraph"/>
              <w:numPr>
                <w:ilvl w:val="0"/>
                <w:numId w:val="4"/>
              </w:numPr>
              <w:jc w:val="both"/>
              <w:rPr>
                <w:rFonts w:ascii="Arial" w:hAnsi="Arial" w:cs="Arial"/>
                <w:bCs/>
                <w:sz w:val="22"/>
                <w:szCs w:val="22"/>
              </w:rPr>
            </w:pPr>
            <w:r w:rsidRPr="005E5E1E">
              <w:rPr>
                <w:rFonts w:ascii="Arial" w:hAnsi="Arial" w:cs="Arial"/>
                <w:bCs/>
                <w:sz w:val="22"/>
                <w:szCs w:val="22"/>
              </w:rPr>
              <w:t>Critique externally driven, technocentric approaches to climate resilience and adaptation, demonstrating how Indigenous innovation creates adaptive, scalable, and equitable solutions.</w:t>
            </w:r>
          </w:p>
          <w:p w14:paraId="0FB780A3" w14:textId="77777777" w:rsidR="005E5E1E" w:rsidRPr="005E5E1E" w:rsidRDefault="005E5E1E" w:rsidP="005E5E1E">
            <w:pPr>
              <w:pStyle w:val="ListParagraph"/>
              <w:numPr>
                <w:ilvl w:val="0"/>
                <w:numId w:val="4"/>
              </w:numPr>
              <w:jc w:val="both"/>
              <w:rPr>
                <w:rFonts w:ascii="Arial" w:hAnsi="Arial" w:cs="Arial"/>
                <w:bCs/>
                <w:sz w:val="22"/>
                <w:szCs w:val="22"/>
              </w:rPr>
            </w:pPr>
            <w:r w:rsidRPr="005E5E1E">
              <w:rPr>
                <w:rFonts w:ascii="Arial" w:hAnsi="Arial" w:cs="Arial"/>
                <w:bCs/>
                <w:sz w:val="22"/>
                <w:szCs w:val="22"/>
              </w:rPr>
              <w:t>Explore the extractive, exploitative, and profit-driven tendencies of climate innovation, such as climate finance (mostly loan) and carbon trade initiatives, and their impacts on Pacific communities.</w:t>
            </w:r>
          </w:p>
          <w:p w14:paraId="66F8639A" w14:textId="0DCE9933" w:rsidR="005E5E1E" w:rsidRPr="005E5E1E" w:rsidRDefault="005E5E1E" w:rsidP="005E5E1E">
            <w:pPr>
              <w:pStyle w:val="ListParagraph"/>
              <w:numPr>
                <w:ilvl w:val="0"/>
                <w:numId w:val="4"/>
              </w:numPr>
              <w:jc w:val="both"/>
              <w:rPr>
                <w:rFonts w:ascii="Arial" w:hAnsi="Arial" w:cs="Arial"/>
                <w:bCs/>
                <w:sz w:val="22"/>
                <w:szCs w:val="22"/>
              </w:rPr>
            </w:pPr>
            <w:r w:rsidRPr="005E5E1E">
              <w:rPr>
                <w:rFonts w:ascii="Arial" w:hAnsi="Arial" w:cs="Arial"/>
                <w:bCs/>
                <w:sz w:val="22"/>
                <w:szCs w:val="22"/>
                <w:lang w:val="en-CA"/>
              </w:rPr>
              <w:t>Illustrate the dynamism and relevance of Indigenous innovation through case studies from the Pacific Islands.</w:t>
            </w:r>
          </w:p>
          <w:p w14:paraId="7DF7D437" w14:textId="77777777" w:rsidR="0065012F" w:rsidRDefault="0065012F"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4504924C" w14:textId="35CF4A62" w:rsidR="005E5E1E" w:rsidRPr="005E5E1E" w:rsidRDefault="005E5E1E" w:rsidP="00706DED">
            <w:pPr>
              <w:jc w:val="both"/>
              <w:rPr>
                <w:rFonts w:ascii="Arial" w:hAnsi="Arial" w:cs="Arial"/>
                <w:bCs/>
                <w:sz w:val="22"/>
                <w:szCs w:val="22"/>
              </w:rPr>
            </w:pPr>
            <w:r w:rsidRPr="005E5E1E">
              <w:rPr>
                <w:rFonts w:ascii="Arial" w:hAnsi="Arial" w:cs="Arial"/>
                <w:bCs/>
                <w:sz w:val="22"/>
                <w:szCs w:val="22"/>
              </w:rPr>
              <w:t xml:space="preserve">This research employs participatory approaches that </w:t>
            </w:r>
            <w:proofErr w:type="spellStart"/>
            <w:r w:rsidRPr="005E5E1E">
              <w:rPr>
                <w:rFonts w:ascii="Arial" w:hAnsi="Arial" w:cs="Arial"/>
                <w:bCs/>
                <w:sz w:val="22"/>
                <w:szCs w:val="22"/>
              </w:rPr>
              <w:t>center</w:t>
            </w:r>
            <w:proofErr w:type="spellEnd"/>
            <w:r w:rsidRPr="005E5E1E">
              <w:rPr>
                <w:rFonts w:ascii="Arial" w:hAnsi="Arial" w:cs="Arial"/>
                <w:bCs/>
                <w:sz w:val="22"/>
                <w:szCs w:val="22"/>
              </w:rPr>
              <w:t xml:space="preserve"> Indigenous voices, experiences, and solutions, asking: What works for Indigenous communities, and how can their innovations inform global climate resilience and adaptation strategies? The study was conducted during the Pacific Ocean Climate Crisis Assessment (POCCA) fieldwork, with the final report launched at COP 29 in Baku, Azerbaijan.</w:t>
            </w:r>
          </w:p>
          <w:p w14:paraId="0D23B861" w14:textId="77777777" w:rsidR="005E5E1E" w:rsidRDefault="005E5E1E"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5AF3416B" w14:textId="1226F7EB" w:rsidR="005E5E1E" w:rsidRPr="005E5E1E" w:rsidRDefault="005E5E1E" w:rsidP="00706DED">
            <w:pPr>
              <w:jc w:val="both"/>
              <w:rPr>
                <w:rFonts w:ascii="Arial" w:hAnsi="Arial" w:cs="Arial"/>
                <w:bCs/>
                <w:sz w:val="22"/>
                <w:szCs w:val="22"/>
              </w:rPr>
            </w:pPr>
            <w:r w:rsidRPr="005E5E1E">
              <w:rPr>
                <w:rFonts w:ascii="Arial" w:hAnsi="Arial" w:cs="Arial"/>
                <w:bCs/>
                <w:sz w:val="22"/>
                <w:szCs w:val="22"/>
              </w:rPr>
              <w:t>Case studies, such as freshwater management in Kia Island (Fiji), wetland farming (</w:t>
            </w:r>
            <w:proofErr w:type="spellStart"/>
            <w:r w:rsidRPr="005E5E1E">
              <w:rPr>
                <w:rFonts w:ascii="Arial" w:hAnsi="Arial" w:cs="Arial"/>
                <w:bCs/>
                <w:sz w:val="22"/>
                <w:szCs w:val="22"/>
              </w:rPr>
              <w:t>Mesei</w:t>
            </w:r>
            <w:proofErr w:type="spellEnd"/>
            <w:r w:rsidRPr="005E5E1E">
              <w:rPr>
                <w:rFonts w:ascii="Arial" w:hAnsi="Arial" w:cs="Arial"/>
                <w:bCs/>
                <w:sz w:val="22"/>
                <w:szCs w:val="22"/>
              </w:rPr>
              <w:t xml:space="preserve">) in Palau, agribusiness models in Fiji, the nexus of science and traditional ecological knowledge (TEK) in Samoa, climate mobility narratives in Tonga, and communal </w:t>
            </w:r>
            <w:proofErr w:type="spellStart"/>
            <w:r w:rsidRPr="005E5E1E">
              <w:rPr>
                <w:rFonts w:ascii="Arial" w:hAnsi="Arial" w:cs="Arial"/>
                <w:bCs/>
                <w:sz w:val="22"/>
                <w:szCs w:val="22"/>
              </w:rPr>
              <w:t>labor</w:t>
            </w:r>
            <w:proofErr w:type="spellEnd"/>
            <w:r w:rsidRPr="005E5E1E">
              <w:rPr>
                <w:rFonts w:ascii="Arial" w:hAnsi="Arial" w:cs="Arial"/>
                <w:bCs/>
                <w:sz w:val="22"/>
                <w:szCs w:val="22"/>
              </w:rPr>
              <w:t xml:space="preserve"> systems in Niue’s post-cyclone recovery, illustrate the dynamism of Indigenous innovation. For example, the revival of traditional water holes in Timor-Leste restored local water tables and strengthened community resilience. Similarly, </w:t>
            </w:r>
            <w:proofErr w:type="spellStart"/>
            <w:r w:rsidRPr="005E5E1E">
              <w:rPr>
                <w:rFonts w:ascii="Arial" w:hAnsi="Arial" w:cs="Arial"/>
                <w:bCs/>
                <w:sz w:val="22"/>
                <w:szCs w:val="22"/>
              </w:rPr>
              <w:t>Langalanga</w:t>
            </w:r>
            <w:proofErr w:type="spellEnd"/>
            <w:r w:rsidRPr="005E5E1E">
              <w:rPr>
                <w:rFonts w:ascii="Arial" w:hAnsi="Arial" w:cs="Arial"/>
                <w:bCs/>
                <w:sz w:val="22"/>
                <w:szCs w:val="22"/>
              </w:rPr>
              <w:t xml:space="preserve"> Lagoon’s private island systems in the Solomon Islands exemplify innovative resource governance rooted in Indigenous values. These practices are not relics of the past but living systems responding to contemporary ecological, social, and </w:t>
            </w:r>
            <w:r w:rsidRPr="005E5E1E">
              <w:rPr>
                <w:rFonts w:ascii="Arial" w:hAnsi="Arial" w:cs="Arial"/>
                <w:bCs/>
                <w:sz w:val="22"/>
                <w:szCs w:val="22"/>
              </w:rPr>
              <w:lastRenderedPageBreak/>
              <w:t>economic pressures. Climate science, often driven by external experts, as seen in the IPCC, tends to marginalize Indigenous knowledge, which is deemed insufficiently aligned with modern frameworks.</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3CB2428" w14:textId="35348863" w:rsidR="00BE58D6" w:rsidRPr="005E5E1E" w:rsidRDefault="005E5E1E" w:rsidP="00706DED">
            <w:pPr>
              <w:jc w:val="both"/>
              <w:rPr>
                <w:rFonts w:ascii="Arial" w:hAnsi="Arial" w:cs="Arial"/>
                <w:bCs/>
                <w:sz w:val="22"/>
                <w:szCs w:val="22"/>
              </w:rPr>
            </w:pPr>
            <w:r w:rsidRPr="005E5E1E">
              <w:rPr>
                <w:rFonts w:ascii="Arial" w:hAnsi="Arial" w:cs="Arial"/>
                <w:bCs/>
                <w:sz w:val="22"/>
                <w:szCs w:val="22"/>
              </w:rPr>
              <w:t xml:space="preserve">By bridging scientific evidence with Indigenous perspectives, this research advocates for inclusive and equitable climate responses that respect and leverage Indigenous resilience and </w:t>
            </w:r>
            <w:proofErr w:type="spellStart"/>
            <w:r w:rsidRPr="005E5E1E">
              <w:rPr>
                <w:rFonts w:ascii="Arial" w:hAnsi="Arial" w:cs="Arial"/>
                <w:bCs/>
                <w:sz w:val="22"/>
                <w:szCs w:val="22"/>
              </w:rPr>
              <w:t>innovation</w:t>
            </w:r>
            <w:r w:rsidRPr="005E5E1E">
              <w:rPr>
                <w:rFonts w:ascii="Arial" w:hAnsi="Arial" w:cs="Arial"/>
                <w:bCs/>
                <w:sz w:val="22"/>
                <w:szCs w:val="22"/>
                <w:vertAlign w:val="superscript"/>
              </w:rPr>
              <w:t>iv</w:t>
            </w:r>
            <w:proofErr w:type="spellEnd"/>
            <w:r w:rsidRPr="005E5E1E">
              <w:rPr>
                <w:rFonts w:ascii="Arial" w:hAnsi="Arial" w:cs="Arial"/>
                <w:bCs/>
                <w:sz w:val="22"/>
                <w:szCs w:val="22"/>
              </w:rPr>
              <w:t>. It calls for a paradigm shift that reimagines innovation as a tool for collective well-being, ecological stewardship, and cognitive and political justice, prioritizing equity, resilience, interdependence, and ecological balance.</w:t>
            </w:r>
          </w:p>
          <w:p w14:paraId="66F67F7C" w14:textId="77777777" w:rsidR="005E5E1E" w:rsidRDefault="005E5E1E" w:rsidP="00706DED">
            <w:pPr>
              <w:jc w:val="both"/>
              <w:rPr>
                <w:rFonts w:ascii="Arial" w:hAnsi="Arial" w:cs="Arial"/>
                <w:b/>
                <w:sz w:val="22"/>
                <w:szCs w:val="22"/>
              </w:rPr>
            </w:pPr>
          </w:p>
          <w:p w14:paraId="1A078683" w14:textId="77777777" w:rsidR="00BE58D6" w:rsidRDefault="00BE58D6" w:rsidP="00706DED">
            <w:pPr>
              <w:jc w:val="both"/>
              <w:rPr>
                <w:rFonts w:ascii="Arial" w:hAnsi="Arial" w:cs="Arial"/>
                <w:b/>
                <w:sz w:val="22"/>
                <w:szCs w:val="22"/>
              </w:rPr>
            </w:pPr>
          </w:p>
          <w:p w14:paraId="39AA1BB4" w14:textId="03846BF6" w:rsidR="00BE58D6" w:rsidRDefault="005E5E1E" w:rsidP="00706DED">
            <w:pPr>
              <w:jc w:val="both"/>
              <w:rPr>
                <w:rFonts w:ascii="Arial" w:hAnsi="Arial" w:cs="Arial"/>
                <w:b/>
                <w:sz w:val="22"/>
                <w:szCs w:val="22"/>
              </w:rPr>
            </w:pPr>
            <w:r>
              <w:rPr>
                <w:rFonts w:ascii="Arial" w:hAnsi="Arial" w:cs="Arial"/>
                <w:b/>
                <w:sz w:val="22"/>
                <w:szCs w:val="22"/>
              </w:rPr>
              <w:t>References:</w:t>
            </w:r>
          </w:p>
          <w:p w14:paraId="2F9A24C4" w14:textId="77777777" w:rsidR="005E5E1E" w:rsidRDefault="005E5E1E" w:rsidP="00706DED">
            <w:pPr>
              <w:jc w:val="both"/>
              <w:rPr>
                <w:rFonts w:ascii="Arial" w:hAnsi="Arial" w:cs="Arial"/>
                <w:b/>
                <w:sz w:val="22"/>
                <w:szCs w:val="22"/>
              </w:rPr>
            </w:pPr>
          </w:p>
          <w:p w14:paraId="1DF2CCD6" w14:textId="77777777" w:rsidR="005E5E1E" w:rsidRPr="005E5E1E" w:rsidRDefault="005E5E1E" w:rsidP="005E5E1E">
            <w:pPr>
              <w:jc w:val="both"/>
              <w:rPr>
                <w:rFonts w:ascii="Arial" w:hAnsi="Arial" w:cs="Arial"/>
                <w:bCs/>
                <w:sz w:val="22"/>
                <w:szCs w:val="22"/>
              </w:rPr>
            </w:pPr>
            <w:proofErr w:type="spellStart"/>
            <w:r w:rsidRPr="005E5E1E">
              <w:rPr>
                <w:rFonts w:ascii="Arial" w:hAnsi="Arial" w:cs="Arial"/>
                <w:bCs/>
                <w:sz w:val="22"/>
                <w:szCs w:val="22"/>
                <w:vertAlign w:val="superscript"/>
              </w:rPr>
              <w:t>i</w:t>
            </w:r>
            <w:proofErr w:type="spellEnd"/>
            <w:r w:rsidRPr="005E5E1E">
              <w:rPr>
                <w:rFonts w:ascii="Arial" w:hAnsi="Arial" w:cs="Arial"/>
                <w:bCs/>
                <w:sz w:val="22"/>
                <w:szCs w:val="22"/>
                <w:vertAlign w:val="superscript"/>
              </w:rPr>
              <w:t xml:space="preserve"> </w:t>
            </w:r>
            <w:proofErr w:type="spellStart"/>
            <w:r w:rsidRPr="005E5E1E">
              <w:rPr>
                <w:rFonts w:ascii="Arial" w:hAnsi="Arial" w:cs="Arial"/>
                <w:bCs/>
                <w:sz w:val="22"/>
                <w:szCs w:val="22"/>
              </w:rPr>
              <w:t>Vunibola</w:t>
            </w:r>
            <w:proofErr w:type="spellEnd"/>
            <w:r w:rsidRPr="005E5E1E">
              <w:rPr>
                <w:rFonts w:ascii="Arial" w:hAnsi="Arial" w:cs="Arial"/>
                <w:bCs/>
                <w:sz w:val="22"/>
                <w:szCs w:val="22"/>
              </w:rPr>
              <w:t xml:space="preserve">, S., </w:t>
            </w:r>
            <w:proofErr w:type="spellStart"/>
            <w:r w:rsidRPr="005E5E1E">
              <w:rPr>
                <w:rFonts w:ascii="Arial" w:hAnsi="Arial" w:cs="Arial"/>
                <w:bCs/>
                <w:sz w:val="22"/>
                <w:szCs w:val="22"/>
              </w:rPr>
              <w:t>Tausa</w:t>
            </w:r>
            <w:proofErr w:type="spellEnd"/>
            <w:r w:rsidRPr="005E5E1E">
              <w:rPr>
                <w:rFonts w:ascii="Arial" w:hAnsi="Arial" w:cs="Arial"/>
                <w:bCs/>
                <w:sz w:val="22"/>
                <w:szCs w:val="22"/>
              </w:rPr>
              <w:t xml:space="preserve">, C. L., </w:t>
            </w:r>
            <w:proofErr w:type="spellStart"/>
            <w:r w:rsidRPr="005E5E1E">
              <w:rPr>
                <w:rFonts w:ascii="Arial" w:hAnsi="Arial" w:cs="Arial"/>
                <w:bCs/>
                <w:sz w:val="22"/>
                <w:szCs w:val="22"/>
              </w:rPr>
              <w:t>Gharbaoui</w:t>
            </w:r>
            <w:proofErr w:type="spellEnd"/>
            <w:r w:rsidRPr="005E5E1E">
              <w:rPr>
                <w:rFonts w:ascii="Arial" w:hAnsi="Arial" w:cs="Arial"/>
                <w:bCs/>
                <w:sz w:val="22"/>
                <w:szCs w:val="22"/>
              </w:rPr>
              <w:t xml:space="preserve">, D., Garcia, D., &amp; Ratuva, S. (2024). The Concept of Indigenous Knowledge and Climate Resilience in the Pacific. In </w:t>
            </w:r>
            <w:r w:rsidRPr="005E5E1E">
              <w:rPr>
                <w:rFonts w:ascii="Arial" w:hAnsi="Arial" w:cs="Arial"/>
                <w:bCs/>
                <w:i/>
                <w:iCs/>
                <w:sz w:val="22"/>
                <w:szCs w:val="22"/>
              </w:rPr>
              <w:t>Traditional Knowledge and Climate Change: An Environmental Impact on Landscape and Communities</w:t>
            </w:r>
            <w:r w:rsidRPr="005E5E1E">
              <w:rPr>
                <w:rFonts w:ascii="Arial" w:hAnsi="Arial" w:cs="Arial"/>
                <w:bCs/>
                <w:sz w:val="22"/>
                <w:szCs w:val="22"/>
              </w:rPr>
              <w:t xml:space="preserve"> (pp. 47-60). Singapore: Springer Nature Singapore.</w:t>
            </w:r>
          </w:p>
          <w:p w14:paraId="06A8EF15" w14:textId="77777777" w:rsidR="005E5E1E" w:rsidRPr="005E5E1E" w:rsidRDefault="005E5E1E" w:rsidP="005E5E1E">
            <w:pPr>
              <w:jc w:val="both"/>
              <w:rPr>
                <w:rFonts w:ascii="Arial" w:hAnsi="Arial" w:cs="Arial"/>
                <w:bCs/>
                <w:sz w:val="22"/>
                <w:szCs w:val="22"/>
              </w:rPr>
            </w:pPr>
            <w:r w:rsidRPr="005E5E1E">
              <w:rPr>
                <w:rFonts w:ascii="Arial" w:hAnsi="Arial" w:cs="Arial"/>
                <w:bCs/>
                <w:sz w:val="22"/>
                <w:szCs w:val="22"/>
                <w:vertAlign w:val="superscript"/>
              </w:rPr>
              <w:t xml:space="preserve">ii </w:t>
            </w:r>
            <w:proofErr w:type="spellStart"/>
            <w:r w:rsidRPr="005E5E1E">
              <w:rPr>
                <w:rFonts w:ascii="Arial" w:hAnsi="Arial" w:cs="Arial"/>
                <w:bCs/>
                <w:sz w:val="22"/>
                <w:szCs w:val="22"/>
              </w:rPr>
              <w:t>Vunibola</w:t>
            </w:r>
            <w:proofErr w:type="spellEnd"/>
            <w:r w:rsidRPr="005E5E1E">
              <w:rPr>
                <w:rFonts w:ascii="Arial" w:hAnsi="Arial" w:cs="Arial"/>
                <w:bCs/>
                <w:sz w:val="22"/>
                <w:szCs w:val="22"/>
              </w:rPr>
              <w:t xml:space="preserve">, </w:t>
            </w:r>
            <w:proofErr w:type="spellStart"/>
            <w:r w:rsidRPr="005E5E1E">
              <w:rPr>
                <w:rFonts w:ascii="Arial" w:hAnsi="Arial" w:cs="Arial"/>
                <w:bCs/>
                <w:sz w:val="22"/>
                <w:szCs w:val="22"/>
              </w:rPr>
              <w:t>Suliasi</w:t>
            </w:r>
            <w:proofErr w:type="spellEnd"/>
            <w:r w:rsidRPr="005E5E1E">
              <w:rPr>
                <w:rFonts w:ascii="Arial" w:hAnsi="Arial" w:cs="Arial"/>
                <w:bCs/>
                <w:sz w:val="22"/>
                <w:szCs w:val="22"/>
              </w:rPr>
              <w:t xml:space="preserve">; </w:t>
            </w:r>
            <w:proofErr w:type="spellStart"/>
            <w:r w:rsidRPr="005E5E1E">
              <w:rPr>
                <w:rFonts w:ascii="Arial" w:hAnsi="Arial" w:cs="Arial"/>
                <w:bCs/>
                <w:sz w:val="22"/>
                <w:szCs w:val="22"/>
              </w:rPr>
              <w:t>Leweniqila</w:t>
            </w:r>
            <w:proofErr w:type="spellEnd"/>
            <w:r w:rsidRPr="005E5E1E">
              <w:rPr>
                <w:rFonts w:ascii="Arial" w:hAnsi="Arial" w:cs="Arial"/>
                <w:bCs/>
                <w:sz w:val="22"/>
                <w:szCs w:val="22"/>
              </w:rPr>
              <w:t xml:space="preserve">, </w:t>
            </w:r>
            <w:proofErr w:type="spellStart"/>
            <w:r w:rsidRPr="005E5E1E">
              <w:rPr>
                <w:rFonts w:ascii="Arial" w:hAnsi="Arial" w:cs="Arial"/>
                <w:bCs/>
                <w:sz w:val="22"/>
                <w:szCs w:val="22"/>
              </w:rPr>
              <w:t>Ilisoni</w:t>
            </w:r>
            <w:proofErr w:type="spellEnd"/>
            <w:r w:rsidRPr="005E5E1E">
              <w:rPr>
                <w:rFonts w:ascii="Arial" w:hAnsi="Arial" w:cs="Arial"/>
                <w:bCs/>
                <w:sz w:val="22"/>
                <w:szCs w:val="22"/>
              </w:rPr>
              <w:t xml:space="preserve">; </w:t>
            </w:r>
            <w:proofErr w:type="spellStart"/>
            <w:r w:rsidRPr="005E5E1E">
              <w:rPr>
                <w:rFonts w:ascii="Arial" w:hAnsi="Arial" w:cs="Arial"/>
                <w:bCs/>
                <w:sz w:val="22"/>
                <w:szCs w:val="22"/>
              </w:rPr>
              <w:t>Raisele</w:t>
            </w:r>
            <w:proofErr w:type="spellEnd"/>
            <w:r w:rsidRPr="005E5E1E">
              <w:rPr>
                <w:rFonts w:ascii="Arial" w:hAnsi="Arial" w:cs="Arial"/>
                <w:bCs/>
                <w:sz w:val="22"/>
                <w:szCs w:val="22"/>
              </w:rPr>
              <w:t xml:space="preserve">, </w:t>
            </w:r>
            <w:proofErr w:type="spellStart"/>
            <w:r w:rsidRPr="005E5E1E">
              <w:rPr>
                <w:rFonts w:ascii="Arial" w:hAnsi="Arial" w:cs="Arial"/>
                <w:bCs/>
                <w:sz w:val="22"/>
                <w:szCs w:val="22"/>
              </w:rPr>
              <w:t>Kolaia</w:t>
            </w:r>
            <w:proofErr w:type="spellEnd"/>
            <w:r w:rsidRPr="005E5E1E">
              <w:rPr>
                <w:rFonts w:ascii="Arial" w:hAnsi="Arial" w:cs="Arial"/>
                <w:bCs/>
                <w:sz w:val="22"/>
                <w:szCs w:val="22"/>
              </w:rPr>
              <w:t xml:space="preserve"> (2024). Reimagining innovation through Indigenous Agricultural Knowledge (IAK): Indigenous innovations and climate crisis resilience in the Pacific. La Trobe. Journal contribution. https://doi.org/10.26181/25375207.v1</w:t>
            </w:r>
          </w:p>
          <w:p w14:paraId="19E8BB18" w14:textId="77777777" w:rsidR="005E5E1E" w:rsidRPr="005E5E1E" w:rsidRDefault="005E5E1E" w:rsidP="005E5E1E">
            <w:pPr>
              <w:jc w:val="both"/>
              <w:rPr>
                <w:rFonts w:ascii="Arial" w:hAnsi="Arial" w:cs="Arial"/>
                <w:bCs/>
                <w:sz w:val="22"/>
                <w:szCs w:val="22"/>
              </w:rPr>
            </w:pPr>
            <w:r w:rsidRPr="005E5E1E">
              <w:rPr>
                <w:rFonts w:ascii="Arial" w:hAnsi="Arial" w:cs="Arial"/>
                <w:bCs/>
                <w:sz w:val="22"/>
                <w:szCs w:val="22"/>
                <w:vertAlign w:val="superscript"/>
              </w:rPr>
              <w:t xml:space="preserve">iii </w:t>
            </w:r>
            <w:proofErr w:type="spellStart"/>
            <w:r w:rsidRPr="005E5E1E">
              <w:rPr>
                <w:rFonts w:ascii="Arial" w:hAnsi="Arial" w:cs="Arial"/>
                <w:bCs/>
                <w:sz w:val="22"/>
                <w:szCs w:val="22"/>
              </w:rPr>
              <w:t>Vunibola</w:t>
            </w:r>
            <w:proofErr w:type="spellEnd"/>
            <w:r w:rsidRPr="005E5E1E">
              <w:rPr>
                <w:rFonts w:ascii="Arial" w:hAnsi="Arial" w:cs="Arial"/>
                <w:bCs/>
                <w:sz w:val="22"/>
                <w:szCs w:val="22"/>
              </w:rPr>
              <w:t xml:space="preserve">, S., &amp; Scobie, M. (2022). Islands of Indigenous innovation: Reclaiming and reconceptualising innovation within, against and beyond colonial-capitalism. </w:t>
            </w:r>
            <w:r w:rsidRPr="005E5E1E">
              <w:rPr>
                <w:rFonts w:ascii="Arial" w:hAnsi="Arial" w:cs="Arial"/>
                <w:bCs/>
                <w:i/>
                <w:iCs/>
                <w:sz w:val="22"/>
                <w:szCs w:val="22"/>
              </w:rPr>
              <w:t>Journal of the Royal Society of New Zealand</w:t>
            </w:r>
            <w:r w:rsidRPr="005E5E1E">
              <w:rPr>
                <w:rFonts w:ascii="Arial" w:hAnsi="Arial" w:cs="Arial"/>
                <w:bCs/>
                <w:sz w:val="22"/>
                <w:szCs w:val="22"/>
              </w:rPr>
              <w:t>, 52(sup1), 4-17.</w:t>
            </w:r>
          </w:p>
          <w:p w14:paraId="45FCB619" w14:textId="105E3F9E" w:rsidR="005E5E1E" w:rsidRPr="005E5E1E" w:rsidRDefault="005E5E1E" w:rsidP="005E5E1E">
            <w:pPr>
              <w:jc w:val="both"/>
              <w:rPr>
                <w:rFonts w:ascii="Arial" w:hAnsi="Arial" w:cs="Arial"/>
                <w:bCs/>
                <w:sz w:val="22"/>
                <w:szCs w:val="22"/>
              </w:rPr>
            </w:pPr>
            <w:r w:rsidRPr="005E5E1E">
              <w:rPr>
                <w:rFonts w:ascii="Arial" w:hAnsi="Arial" w:cs="Arial"/>
                <w:bCs/>
                <w:sz w:val="22"/>
                <w:szCs w:val="22"/>
                <w:vertAlign w:val="superscript"/>
              </w:rPr>
              <w:t>iv</w:t>
            </w:r>
            <w:r w:rsidRPr="005E5E1E">
              <w:rPr>
                <w:rFonts w:ascii="Arial" w:hAnsi="Arial" w:cs="Arial"/>
                <w:bCs/>
                <w:sz w:val="22"/>
                <w:szCs w:val="22"/>
              </w:rPr>
              <w:t xml:space="preserve"> </w:t>
            </w:r>
            <w:proofErr w:type="spellStart"/>
            <w:r w:rsidRPr="005E5E1E">
              <w:rPr>
                <w:rFonts w:ascii="Arial" w:hAnsi="Arial" w:cs="Arial"/>
                <w:bCs/>
                <w:sz w:val="22"/>
                <w:szCs w:val="22"/>
              </w:rPr>
              <w:t>Vunibola</w:t>
            </w:r>
            <w:proofErr w:type="spellEnd"/>
            <w:r w:rsidRPr="005E5E1E">
              <w:rPr>
                <w:rFonts w:ascii="Arial" w:hAnsi="Arial" w:cs="Arial"/>
                <w:bCs/>
                <w:sz w:val="22"/>
                <w:szCs w:val="22"/>
              </w:rPr>
              <w:t xml:space="preserve">, S., &amp; Ratuva, S. (2024). Innovation for the pluriverse. In </w:t>
            </w:r>
            <w:r w:rsidRPr="005E5E1E">
              <w:rPr>
                <w:rFonts w:ascii="Arial" w:hAnsi="Arial" w:cs="Arial"/>
                <w:bCs/>
                <w:i/>
                <w:iCs/>
                <w:sz w:val="22"/>
                <w:szCs w:val="22"/>
              </w:rPr>
              <w:t>Introducing Human Geographies</w:t>
            </w:r>
            <w:r w:rsidRPr="005E5E1E">
              <w:rPr>
                <w:rFonts w:ascii="Arial" w:hAnsi="Arial" w:cs="Arial"/>
                <w:bCs/>
                <w:sz w:val="22"/>
                <w:szCs w:val="22"/>
              </w:rPr>
              <w:t xml:space="preserve"> (pp. 506-518). Routledge.</w:t>
            </w: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5AE614B"/>
    <w:multiLevelType w:val="hybridMultilevel"/>
    <w:tmpl w:val="A192F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316374630">
    <w:abstractNumId w:val="1"/>
  </w:num>
  <w:num w:numId="4" w16cid:durableId="76827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247C60"/>
    <w:rsid w:val="00256963"/>
    <w:rsid w:val="002E3AA3"/>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5E5E1E"/>
    <w:rsid w:val="0065012F"/>
    <w:rsid w:val="0068043B"/>
    <w:rsid w:val="00681CA7"/>
    <w:rsid w:val="008235E8"/>
    <w:rsid w:val="00845162"/>
    <w:rsid w:val="008773DF"/>
    <w:rsid w:val="008B01BA"/>
    <w:rsid w:val="008B50A0"/>
    <w:rsid w:val="008B6D7C"/>
    <w:rsid w:val="008C0C35"/>
    <w:rsid w:val="008C22AD"/>
    <w:rsid w:val="008C2633"/>
    <w:rsid w:val="008E3D8D"/>
    <w:rsid w:val="008F2F93"/>
    <w:rsid w:val="009010B0"/>
    <w:rsid w:val="00906B39"/>
    <w:rsid w:val="00963443"/>
    <w:rsid w:val="009C374A"/>
    <w:rsid w:val="009F4EA0"/>
    <w:rsid w:val="00B026E8"/>
    <w:rsid w:val="00BA0872"/>
    <w:rsid w:val="00BA26BB"/>
    <w:rsid w:val="00BC6810"/>
    <w:rsid w:val="00BE0B4D"/>
    <w:rsid w:val="00BE58D6"/>
    <w:rsid w:val="00C26081"/>
    <w:rsid w:val="00C4126D"/>
    <w:rsid w:val="00C76C99"/>
    <w:rsid w:val="00C8423A"/>
    <w:rsid w:val="00CE53FE"/>
    <w:rsid w:val="00D716AD"/>
    <w:rsid w:val="00DB7929"/>
    <w:rsid w:val="00DC216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D2F38F-D861-4EE6-9D88-7A4BBC40C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75252D-E591-453A-8164-E6940B4D4083}">
  <ds:schemaRefs>
    <ds:schemaRef ds:uri="6911e96c-4cc4-42d5-8e43-f93924cf6a05"/>
    <ds:schemaRef ds:uri="cab52c9b-ab33-4221-8af9-54f8f2b86a80"/>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9c8a2b7b-0bee-4c48-b0a6-23db8982d3bc"/>
    <ds:schemaRef ds:uri="http://purl.org/dc/terms/"/>
    <ds:schemaRef ds:uri="http://purl.org/dc/elements/1.1/"/>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681</Words>
  <Characters>3885</Characters>
  <Application>Microsoft Office Word</Application>
  <DocSecurity>0</DocSecurity>
  <Lines>32</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2025-03-10T23:46:00Z</dcterms:created>
  <dcterms:modified xsi:type="dcterms:W3CDTF">2025-08-14T03:09:00Z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