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0940" w14:textId="77777777" w:rsidR="00495724" w:rsidRDefault="00495724" w:rsidP="00495724">
      <w:pPr>
        <w:pStyle w:val="NoSpacing"/>
      </w:pP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2"/>
      </w:tblGrid>
      <w:tr w:rsidR="00385D11" w:rsidRPr="0050053A" w14:paraId="67D633DA" w14:textId="77777777" w:rsidTr="00800F68">
        <w:trPr>
          <w:trHeight w:val="682"/>
          <w:jc w:val="center"/>
        </w:trPr>
        <w:tc>
          <w:tcPr>
            <w:tcW w:w="8772" w:type="dxa"/>
            <w:shd w:val="clear" w:color="auto" w:fill="auto"/>
          </w:tcPr>
          <w:p w14:paraId="50E121B0" w14:textId="005622ED" w:rsidR="00385D11" w:rsidRPr="0050053A" w:rsidRDefault="00385D11" w:rsidP="00800F68">
            <w:pPr>
              <w:spacing w:before="120" w:after="120"/>
              <w:rPr>
                <w:rFonts w:ascii="Arial" w:hAnsi="Arial" w:cs="Arial"/>
                <w:b/>
                <w:lang w:val="en-US" w:eastAsia="en-GB"/>
              </w:rPr>
            </w:pPr>
            <w:r w:rsidRPr="00385D11">
              <w:rPr>
                <w:rFonts w:ascii="Arial" w:hAnsi="Arial" w:cs="Arial"/>
                <w:b/>
                <w:lang w:val="en-US" w:eastAsia="en-GB"/>
              </w:rPr>
              <w:t xml:space="preserve">International Lung Screen Trial of lung cancer screening </w:t>
            </w:r>
            <w:r w:rsidR="00AB001B">
              <w:rPr>
                <w:rFonts w:ascii="Arial" w:hAnsi="Arial" w:cs="Arial"/>
                <w:b/>
                <w:lang w:val="en-US" w:eastAsia="en-GB"/>
              </w:rPr>
              <w:t>enrolment</w:t>
            </w:r>
          </w:p>
        </w:tc>
      </w:tr>
      <w:tr w:rsidR="00385D11" w:rsidRPr="0050053A" w14:paraId="78355862" w14:textId="77777777" w:rsidTr="00800F68">
        <w:trPr>
          <w:trHeight w:val="651"/>
          <w:jc w:val="center"/>
        </w:trPr>
        <w:tc>
          <w:tcPr>
            <w:tcW w:w="8772" w:type="dxa"/>
            <w:shd w:val="clear" w:color="auto" w:fill="auto"/>
          </w:tcPr>
          <w:p w14:paraId="1F902703" w14:textId="736F5650" w:rsidR="00385D11" w:rsidRPr="009056AF" w:rsidRDefault="003540AE" w:rsidP="00800F68">
            <w:pPr>
              <w:spacing w:before="120" w:after="120"/>
              <w:rPr>
                <w:rFonts w:ascii="Arial" w:hAnsi="Arial" w:cs="Arial"/>
                <w:u w:val="single"/>
                <w:lang w:eastAsia="zh-CN"/>
              </w:rPr>
            </w:pPr>
            <w:r>
              <w:rPr>
                <w:rFonts w:ascii="Arial" w:hAnsi="Arial" w:cs="Arial"/>
                <w:lang w:val="en-US" w:eastAsia="en-GB"/>
              </w:rPr>
              <w:t>Kwun Fong</w:t>
            </w:r>
            <w:r w:rsidR="00FC21E0" w:rsidRPr="00413B94">
              <w:rPr>
                <w:rFonts w:ascii="Arial" w:hAnsi="Arial" w:cs="Arial"/>
                <w:vertAlign w:val="superscript"/>
                <w:lang w:val="en-US" w:eastAsia="en-GB"/>
              </w:rPr>
              <w:t>1</w:t>
            </w:r>
            <w:r w:rsidR="00D52D4B">
              <w:rPr>
                <w:rFonts w:ascii="Arial" w:hAnsi="Arial" w:cs="Arial"/>
                <w:lang w:val="en-US" w:eastAsia="en-GB"/>
              </w:rPr>
              <w:t xml:space="preserve"> </w:t>
            </w:r>
            <w:r w:rsidR="007106CB">
              <w:rPr>
                <w:rFonts w:ascii="Arial" w:hAnsi="Arial" w:cs="Arial"/>
                <w:lang w:val="en-US" w:eastAsia="en-GB"/>
              </w:rPr>
              <w:t>Henry Marshall</w:t>
            </w:r>
            <w:r w:rsidR="00A12741" w:rsidRPr="00E579C7">
              <w:rPr>
                <w:rFonts w:ascii="Arial" w:hAnsi="Arial" w:cs="Arial"/>
                <w:vertAlign w:val="superscript"/>
                <w:lang w:val="en-US" w:eastAsia="en-GB"/>
              </w:rPr>
              <w:t>1</w:t>
            </w:r>
            <w:r w:rsidR="00A12741">
              <w:rPr>
                <w:rFonts w:ascii="Arial" w:hAnsi="Arial" w:cs="Arial"/>
                <w:lang w:val="en-US" w:eastAsia="en-GB"/>
              </w:rPr>
              <w:t xml:space="preserve"> Annette</w:t>
            </w:r>
            <w:r w:rsidR="00355F53">
              <w:rPr>
                <w:rFonts w:ascii="Arial" w:hAnsi="Arial" w:cs="Arial"/>
                <w:lang w:val="en-US" w:eastAsia="en-GB"/>
              </w:rPr>
              <w:t xml:space="preserve"> McWilliams</w:t>
            </w:r>
            <w:r w:rsidR="004A0D46">
              <w:rPr>
                <w:rFonts w:ascii="Arial" w:hAnsi="Arial" w:cs="Arial"/>
                <w:lang w:val="en-US" w:eastAsia="en-GB"/>
              </w:rPr>
              <w:t xml:space="preserve"> </w:t>
            </w:r>
            <w:r w:rsidR="004A0D46" w:rsidRPr="004A0D46">
              <w:rPr>
                <w:rFonts w:ascii="Arial" w:hAnsi="Arial" w:cs="Arial"/>
                <w:vertAlign w:val="superscript"/>
                <w:lang w:val="en-US" w:eastAsia="en-GB"/>
              </w:rPr>
              <w:t>2,</w:t>
            </w:r>
            <w:r w:rsidR="007B53DA" w:rsidRPr="004A0D46">
              <w:rPr>
                <w:rFonts w:ascii="Arial" w:hAnsi="Arial" w:cs="Arial"/>
                <w:vertAlign w:val="superscript"/>
                <w:lang w:val="en-US" w:eastAsia="en-GB"/>
              </w:rPr>
              <w:t>3</w:t>
            </w:r>
            <w:r w:rsidR="004A0D46">
              <w:rPr>
                <w:rFonts w:ascii="Arial" w:hAnsi="Arial" w:cs="Arial"/>
                <w:lang w:val="en-US" w:eastAsia="en-GB"/>
              </w:rPr>
              <w:t xml:space="preserve"> Fraser Brims </w:t>
            </w:r>
            <w:r w:rsidR="008F73AB" w:rsidRPr="008F73AB">
              <w:rPr>
                <w:rFonts w:ascii="Arial" w:hAnsi="Arial" w:cs="Arial"/>
                <w:vertAlign w:val="superscript"/>
                <w:lang w:val="en-US" w:eastAsia="en-GB"/>
              </w:rPr>
              <w:t>4,</w:t>
            </w:r>
            <w:r w:rsidR="000F68CF" w:rsidRPr="008F73AB">
              <w:rPr>
                <w:rFonts w:ascii="Arial" w:hAnsi="Arial" w:cs="Arial"/>
                <w:vertAlign w:val="superscript"/>
                <w:lang w:val="en-US" w:eastAsia="en-GB"/>
              </w:rPr>
              <w:t>5</w:t>
            </w:r>
            <w:r w:rsidR="00A9368E">
              <w:rPr>
                <w:rFonts w:ascii="Arial" w:hAnsi="Arial" w:cs="Arial"/>
                <w:vertAlign w:val="superscript"/>
                <w:lang w:val="en-US" w:eastAsia="en-GB"/>
              </w:rPr>
              <w:t xml:space="preserve"> </w:t>
            </w:r>
            <w:r w:rsidR="007B53DA" w:rsidRPr="008731CD">
              <w:rPr>
                <w:rFonts w:ascii="Arial" w:hAnsi="Arial" w:cs="Arial"/>
                <w:lang w:eastAsia="zh-CN"/>
              </w:rPr>
              <w:t>Emily Stone</w:t>
            </w:r>
            <w:r w:rsidR="008731CD" w:rsidRPr="008731CD">
              <w:rPr>
                <w:rFonts w:ascii="Arial" w:hAnsi="Arial" w:cs="Arial"/>
                <w:vertAlign w:val="superscript"/>
                <w:lang w:eastAsia="zh-CN"/>
              </w:rPr>
              <w:t>6</w:t>
            </w:r>
            <w:r w:rsidR="008731CD">
              <w:rPr>
                <w:rFonts w:ascii="Arial" w:hAnsi="Arial" w:cs="Arial"/>
                <w:vertAlign w:val="superscript"/>
                <w:lang w:eastAsia="zh-CN"/>
              </w:rPr>
              <w:t xml:space="preserve"> </w:t>
            </w:r>
            <w:r w:rsidR="008731CD">
              <w:rPr>
                <w:rFonts w:ascii="Arial" w:hAnsi="Arial" w:cs="Arial"/>
                <w:lang w:eastAsia="zh-CN"/>
              </w:rPr>
              <w:t xml:space="preserve">Renee Manser </w:t>
            </w:r>
            <w:r w:rsidR="00A9368E" w:rsidRPr="009056AF">
              <w:rPr>
                <w:rFonts w:ascii="Arial" w:hAnsi="Arial" w:cs="Arial"/>
                <w:vertAlign w:val="superscript"/>
                <w:lang w:eastAsia="zh-CN"/>
              </w:rPr>
              <w:t>7</w:t>
            </w:r>
            <w:r w:rsidR="00A9368E">
              <w:rPr>
                <w:rFonts w:ascii="Arial" w:hAnsi="Arial" w:cs="Arial"/>
                <w:vertAlign w:val="superscript"/>
                <w:lang w:eastAsia="zh-CN"/>
              </w:rPr>
              <w:t xml:space="preserve">, </w:t>
            </w:r>
            <w:r w:rsidR="00A9368E" w:rsidRPr="00A9368E">
              <w:rPr>
                <w:rFonts w:ascii="Arial" w:hAnsi="Arial" w:cs="Arial"/>
                <w:lang w:eastAsia="zh-CN"/>
              </w:rPr>
              <w:t>Paul</w:t>
            </w:r>
            <w:r w:rsidR="009056AF" w:rsidRPr="00A9368E">
              <w:rPr>
                <w:rFonts w:ascii="Arial" w:hAnsi="Arial" w:cs="Arial"/>
                <w:lang w:eastAsia="zh-CN"/>
              </w:rPr>
              <w:t xml:space="preserve"> </w:t>
            </w:r>
            <w:r w:rsidR="009056AF">
              <w:rPr>
                <w:rFonts w:ascii="Arial" w:hAnsi="Arial" w:cs="Arial"/>
                <w:lang w:eastAsia="zh-CN"/>
              </w:rPr>
              <w:t xml:space="preserve">Fogarty </w:t>
            </w:r>
            <w:r w:rsidR="00A9368E" w:rsidRPr="009056AF">
              <w:rPr>
                <w:rFonts w:ascii="Arial" w:hAnsi="Arial" w:cs="Arial"/>
                <w:vertAlign w:val="superscript"/>
                <w:lang w:eastAsia="zh-CN"/>
              </w:rPr>
              <w:t>8</w:t>
            </w:r>
            <w:r w:rsidR="009056AF">
              <w:rPr>
                <w:rFonts w:ascii="Arial" w:hAnsi="Arial" w:cs="Arial"/>
                <w:lang w:eastAsia="zh-CN"/>
              </w:rPr>
              <w:t xml:space="preserve"> </w:t>
            </w:r>
            <w:r w:rsidR="001D4B3E">
              <w:rPr>
                <w:rFonts w:ascii="Arial" w:hAnsi="Arial" w:cs="Arial"/>
                <w:lang w:eastAsia="zh-CN"/>
              </w:rPr>
              <w:t>Linda Passmore</w:t>
            </w:r>
            <w:r w:rsidR="0029339C">
              <w:rPr>
                <w:rFonts w:ascii="Arial" w:hAnsi="Arial" w:cs="Arial"/>
                <w:lang w:eastAsia="zh-CN"/>
              </w:rPr>
              <w:t xml:space="preserve"> </w:t>
            </w:r>
            <w:r w:rsidR="0029339C" w:rsidRPr="003C5554">
              <w:rPr>
                <w:rFonts w:ascii="Arial" w:hAnsi="Arial" w:cs="Arial"/>
                <w:vertAlign w:val="superscript"/>
                <w:lang w:eastAsia="zh-CN"/>
              </w:rPr>
              <w:t>1</w:t>
            </w:r>
            <w:r w:rsidR="001D4B3E">
              <w:rPr>
                <w:rFonts w:ascii="Arial" w:hAnsi="Arial" w:cs="Arial"/>
                <w:lang w:eastAsia="zh-CN"/>
              </w:rPr>
              <w:t>, Jacqueline Logan</w:t>
            </w:r>
            <w:r w:rsidR="004E3DEA">
              <w:rPr>
                <w:rFonts w:ascii="Arial" w:hAnsi="Arial" w:cs="Arial"/>
                <w:lang w:eastAsia="zh-CN"/>
              </w:rPr>
              <w:t xml:space="preserve"> </w:t>
            </w:r>
            <w:r w:rsidR="004E3DEA" w:rsidRPr="003C5554">
              <w:rPr>
                <w:rFonts w:ascii="Arial" w:hAnsi="Arial" w:cs="Arial"/>
                <w:vertAlign w:val="superscript"/>
                <w:lang w:eastAsia="zh-CN"/>
              </w:rPr>
              <w:t>2</w:t>
            </w:r>
            <w:r w:rsidR="001D4B3E">
              <w:rPr>
                <w:rFonts w:ascii="Arial" w:hAnsi="Arial" w:cs="Arial"/>
                <w:lang w:eastAsia="zh-CN"/>
              </w:rPr>
              <w:t xml:space="preserve">, </w:t>
            </w:r>
            <w:proofErr w:type="spellStart"/>
            <w:r w:rsidR="001D4B3E">
              <w:rPr>
                <w:rFonts w:ascii="Arial" w:hAnsi="Arial" w:cs="Arial"/>
                <w:lang w:eastAsia="zh-CN"/>
              </w:rPr>
              <w:t>Jaccalyne</w:t>
            </w:r>
            <w:proofErr w:type="spellEnd"/>
            <w:r w:rsidR="00234263">
              <w:rPr>
                <w:rFonts w:ascii="Arial" w:hAnsi="Arial" w:cs="Arial"/>
                <w:lang w:eastAsia="zh-CN"/>
              </w:rPr>
              <w:t xml:space="preserve"> Brady</w:t>
            </w:r>
            <w:r w:rsidR="004E3DEA">
              <w:rPr>
                <w:rFonts w:ascii="Arial" w:hAnsi="Arial" w:cs="Arial"/>
                <w:lang w:eastAsia="zh-CN"/>
              </w:rPr>
              <w:t xml:space="preserve"> </w:t>
            </w:r>
            <w:r w:rsidR="004E3DEA" w:rsidRPr="003C5554">
              <w:rPr>
                <w:rFonts w:ascii="Arial" w:hAnsi="Arial" w:cs="Arial"/>
                <w:vertAlign w:val="superscript"/>
                <w:lang w:eastAsia="zh-CN"/>
              </w:rPr>
              <w:t>1</w:t>
            </w:r>
            <w:r w:rsidR="00234263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="00234263">
              <w:rPr>
                <w:rFonts w:ascii="Arial" w:hAnsi="Arial" w:cs="Arial"/>
                <w:lang w:eastAsia="zh-CN"/>
              </w:rPr>
              <w:t>Sukinder</w:t>
            </w:r>
            <w:proofErr w:type="spellEnd"/>
            <w:r w:rsidR="00234263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="00234263">
              <w:rPr>
                <w:rFonts w:ascii="Arial" w:hAnsi="Arial" w:cs="Arial"/>
                <w:lang w:eastAsia="zh-CN"/>
              </w:rPr>
              <w:t>Atkar-Khattra</w:t>
            </w:r>
            <w:proofErr w:type="spellEnd"/>
            <w:r w:rsidR="1DA9CB33" w:rsidRPr="78F1563E">
              <w:rPr>
                <w:rFonts w:ascii="Arial" w:hAnsi="Arial" w:cs="Arial"/>
                <w:lang w:eastAsia="zh-CN"/>
              </w:rPr>
              <w:t xml:space="preserve"> </w:t>
            </w:r>
            <w:r w:rsidR="1DA9CB33" w:rsidRPr="003C5554">
              <w:rPr>
                <w:rFonts w:ascii="Arial" w:hAnsi="Arial" w:cs="Arial"/>
                <w:vertAlign w:val="superscript"/>
                <w:lang w:eastAsia="zh-CN"/>
              </w:rPr>
              <w:t>9</w:t>
            </w:r>
            <w:r w:rsidR="00A9368E">
              <w:rPr>
                <w:rFonts w:ascii="Arial" w:hAnsi="Arial" w:cs="Arial"/>
                <w:lang w:eastAsia="zh-CN"/>
              </w:rPr>
              <w:t xml:space="preserve"> </w:t>
            </w:r>
            <w:r w:rsidR="00234263">
              <w:rPr>
                <w:rFonts w:ascii="Arial" w:hAnsi="Arial" w:cs="Arial"/>
                <w:lang w:eastAsia="zh-CN"/>
              </w:rPr>
              <w:t>Renelle Myers</w:t>
            </w:r>
            <w:r w:rsidR="4DA5ECA9" w:rsidRPr="1AB80D6E">
              <w:rPr>
                <w:rFonts w:ascii="Arial" w:hAnsi="Arial" w:cs="Arial"/>
                <w:lang w:eastAsia="zh-CN"/>
              </w:rPr>
              <w:t xml:space="preserve"> </w:t>
            </w:r>
            <w:r w:rsidR="006F3384" w:rsidRPr="003C5554">
              <w:rPr>
                <w:rFonts w:ascii="Arial" w:hAnsi="Arial" w:cs="Arial"/>
                <w:vertAlign w:val="superscript"/>
                <w:lang w:eastAsia="zh-CN"/>
              </w:rPr>
              <w:t>9</w:t>
            </w:r>
            <w:r w:rsidR="006F3384">
              <w:rPr>
                <w:rFonts w:ascii="Arial" w:hAnsi="Arial" w:cs="Arial"/>
                <w:lang w:eastAsia="zh-CN"/>
              </w:rPr>
              <w:t xml:space="preserve"> Stephen</w:t>
            </w:r>
            <w:r w:rsidR="0029339C">
              <w:rPr>
                <w:rFonts w:ascii="Arial" w:hAnsi="Arial" w:cs="Arial"/>
                <w:lang w:eastAsia="zh-CN"/>
              </w:rPr>
              <w:t xml:space="preserve"> Lam</w:t>
            </w:r>
            <w:r w:rsidR="70FFB447" w:rsidRPr="68BDDC32">
              <w:rPr>
                <w:rFonts w:ascii="Arial" w:hAnsi="Arial" w:cs="Arial"/>
                <w:lang w:eastAsia="zh-CN"/>
              </w:rPr>
              <w:t xml:space="preserve"> </w:t>
            </w:r>
            <w:r w:rsidR="70FFB447" w:rsidRPr="003C5554">
              <w:rPr>
                <w:rFonts w:ascii="Arial" w:hAnsi="Arial" w:cs="Arial"/>
                <w:vertAlign w:val="superscript"/>
                <w:lang w:eastAsia="zh-CN"/>
              </w:rPr>
              <w:t>9</w:t>
            </w:r>
            <w:r w:rsidR="00A9368E">
              <w:rPr>
                <w:rFonts w:ascii="Arial" w:hAnsi="Arial" w:cs="Arial"/>
                <w:lang w:eastAsia="zh-CN"/>
              </w:rPr>
              <w:t xml:space="preserve"> </w:t>
            </w:r>
            <w:r w:rsidR="0029339C">
              <w:rPr>
                <w:rFonts w:ascii="Arial" w:hAnsi="Arial" w:cs="Arial"/>
                <w:lang w:eastAsia="zh-CN"/>
              </w:rPr>
              <w:t xml:space="preserve">Martin </w:t>
            </w:r>
            <w:proofErr w:type="spellStart"/>
            <w:r w:rsidR="0029339C">
              <w:rPr>
                <w:rFonts w:ascii="Arial" w:hAnsi="Arial" w:cs="Arial"/>
                <w:lang w:eastAsia="zh-CN"/>
              </w:rPr>
              <w:t>Tammemagi</w:t>
            </w:r>
            <w:proofErr w:type="spellEnd"/>
            <w:r w:rsidR="37ADF663" w:rsidRPr="70220F99">
              <w:rPr>
                <w:rFonts w:ascii="Arial" w:hAnsi="Arial" w:cs="Arial"/>
                <w:lang w:eastAsia="zh-CN"/>
              </w:rPr>
              <w:t xml:space="preserve"> </w:t>
            </w:r>
            <w:r w:rsidR="37ADF663" w:rsidRPr="003C5554">
              <w:rPr>
                <w:rFonts w:ascii="Arial" w:hAnsi="Arial" w:cs="Arial"/>
                <w:vertAlign w:val="superscript"/>
                <w:lang w:eastAsia="zh-CN"/>
              </w:rPr>
              <w:t>10</w:t>
            </w:r>
            <w:r w:rsidR="0029339C">
              <w:rPr>
                <w:rFonts w:ascii="Arial" w:hAnsi="Arial" w:cs="Arial"/>
                <w:lang w:eastAsia="zh-CN"/>
              </w:rPr>
              <w:t xml:space="preserve"> Ian Yang</w:t>
            </w:r>
            <w:r w:rsidR="000F68CF">
              <w:rPr>
                <w:rFonts w:ascii="Arial" w:hAnsi="Arial" w:cs="Arial"/>
                <w:lang w:eastAsia="zh-CN"/>
              </w:rPr>
              <w:t xml:space="preserve"> </w:t>
            </w:r>
            <w:r w:rsidR="000F68CF" w:rsidRPr="000F68CF">
              <w:rPr>
                <w:rFonts w:ascii="Arial" w:hAnsi="Arial" w:cs="Arial"/>
                <w:vertAlign w:val="superscript"/>
                <w:lang w:eastAsia="zh-CN"/>
              </w:rPr>
              <w:t>1</w:t>
            </w:r>
          </w:p>
        </w:tc>
      </w:tr>
      <w:tr w:rsidR="00385D11" w:rsidRPr="0050053A" w14:paraId="6EA3F4D4" w14:textId="77777777" w:rsidTr="00800F68">
        <w:trPr>
          <w:trHeight w:val="182"/>
          <w:jc w:val="center"/>
        </w:trPr>
        <w:tc>
          <w:tcPr>
            <w:tcW w:w="8772" w:type="dxa"/>
            <w:shd w:val="clear" w:color="auto" w:fill="auto"/>
          </w:tcPr>
          <w:p w14:paraId="6C808D01" w14:textId="4B674083" w:rsidR="00385D11" w:rsidRPr="00297DAB" w:rsidRDefault="00385D11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CB6209">
              <w:rPr>
                <w:rFonts w:ascii="Arial" w:hAnsi="Arial" w:cs="Arial"/>
                <w:i/>
                <w:vertAlign w:val="superscript"/>
                <w:lang w:val="en-US" w:eastAsia="en-GB"/>
              </w:rPr>
              <w:t xml:space="preserve">1 </w:t>
            </w:r>
            <w:r w:rsidRPr="00297DAB">
              <w:rPr>
                <w:rFonts w:ascii="Arial" w:hAnsi="Arial" w:cs="Arial"/>
                <w:i/>
                <w:lang w:val="en-US" w:eastAsia="en-GB"/>
              </w:rPr>
              <w:t>UQ Thoracic Research Centre, the University of Queensland; Thoracic Program, The Prince Charles Hospital (TPCH)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>, Chermside, Queensland, Australia</w:t>
            </w:r>
          </w:p>
          <w:p w14:paraId="37B9D408" w14:textId="77777777" w:rsidR="00705B8C" w:rsidRDefault="00DF51C7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297DAB">
              <w:rPr>
                <w:rFonts w:ascii="Arial" w:hAnsi="Arial" w:cs="Arial"/>
                <w:i/>
                <w:vertAlign w:val="superscript"/>
                <w:lang w:val="en-US" w:eastAsia="en-GB"/>
              </w:rPr>
              <w:t>2</w:t>
            </w:r>
            <w:r w:rsidRPr="00297DAB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 xml:space="preserve">Fiona Stanley Hospital, Murdoch, Perth WA, </w:t>
            </w:r>
          </w:p>
          <w:p w14:paraId="2D058153" w14:textId="633F0600" w:rsidR="00385D11" w:rsidRPr="00297DAB" w:rsidRDefault="008B489E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8B489E">
              <w:rPr>
                <w:rFonts w:ascii="Arial" w:hAnsi="Arial" w:cs="Arial"/>
                <w:i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lang w:val="en-US" w:eastAsia="en-GB"/>
              </w:rPr>
              <w:t xml:space="preserve"> 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 xml:space="preserve">University of Western Australia, </w:t>
            </w:r>
            <w:proofErr w:type="spellStart"/>
            <w:r w:rsidR="00385D11" w:rsidRPr="00297DAB">
              <w:rPr>
                <w:rFonts w:ascii="Arial" w:hAnsi="Arial" w:cs="Arial"/>
                <w:i/>
                <w:lang w:val="en-US" w:eastAsia="en-GB"/>
              </w:rPr>
              <w:t>Nedlands</w:t>
            </w:r>
            <w:proofErr w:type="spellEnd"/>
            <w:r w:rsidR="00385D11" w:rsidRPr="00297DAB">
              <w:rPr>
                <w:rFonts w:ascii="Arial" w:hAnsi="Arial" w:cs="Arial"/>
                <w:i/>
                <w:lang w:val="en-US" w:eastAsia="en-GB"/>
              </w:rPr>
              <w:t>, Perth W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>estern Australia, Australia</w:t>
            </w:r>
          </w:p>
          <w:p w14:paraId="7D7EA95F" w14:textId="5B12F0B2" w:rsidR="008B489E" w:rsidRDefault="008B489E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>
              <w:rPr>
                <w:rFonts w:ascii="Arial" w:hAnsi="Arial" w:cs="Arial"/>
                <w:i/>
                <w:vertAlign w:val="superscript"/>
                <w:lang w:val="en-US" w:eastAsia="en-GB"/>
              </w:rPr>
              <w:t>4</w:t>
            </w:r>
            <w:r w:rsidR="00DF51C7" w:rsidRPr="00297DAB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 xml:space="preserve">Sir Charles Gairdner Hospital, </w:t>
            </w:r>
            <w:proofErr w:type="spellStart"/>
            <w:r w:rsidR="00385D11" w:rsidRPr="00297DAB">
              <w:rPr>
                <w:rFonts w:ascii="Arial" w:hAnsi="Arial" w:cs="Arial"/>
                <w:i/>
                <w:lang w:val="en-US" w:eastAsia="en-GB"/>
              </w:rPr>
              <w:t>Nedlands</w:t>
            </w:r>
            <w:proofErr w:type="spellEnd"/>
            <w:r w:rsidR="00385D11" w:rsidRPr="00297DAB">
              <w:rPr>
                <w:rFonts w:ascii="Arial" w:hAnsi="Arial" w:cs="Arial"/>
                <w:i/>
                <w:lang w:val="en-US" w:eastAsia="en-GB"/>
              </w:rPr>
              <w:t>, Perth WA</w:t>
            </w:r>
            <w:r w:rsidR="00836853">
              <w:rPr>
                <w:rFonts w:ascii="Arial" w:hAnsi="Arial" w:cs="Arial"/>
                <w:i/>
                <w:lang w:val="en-US" w:eastAsia="en-GB"/>
              </w:rPr>
              <w:t xml:space="preserve"> Australia 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473F23EB" w14:textId="1F2A324E" w:rsidR="00385D11" w:rsidRPr="00297DAB" w:rsidRDefault="008B489E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836853">
              <w:rPr>
                <w:rFonts w:ascii="Arial" w:hAnsi="Arial" w:cs="Arial"/>
                <w:i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lang w:val="en-US" w:eastAsia="en-GB"/>
              </w:rPr>
              <w:t xml:space="preserve"> 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>Curtin University, Perth W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>estern Australia, Australia</w:t>
            </w:r>
          </w:p>
          <w:p w14:paraId="5C51D53F" w14:textId="65E66529" w:rsidR="00385D11" w:rsidRPr="00297DAB" w:rsidRDefault="0094181D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>
              <w:rPr>
                <w:rFonts w:ascii="Arial" w:hAnsi="Arial" w:cs="Arial"/>
                <w:i/>
                <w:vertAlign w:val="superscript"/>
                <w:lang w:val="en-US" w:eastAsia="en-GB"/>
              </w:rPr>
              <w:t xml:space="preserve">6 </w:t>
            </w:r>
            <w:r w:rsidR="00FC21E0" w:rsidRPr="00297DAB">
              <w:rPr>
                <w:rFonts w:ascii="Arial" w:hAnsi="Arial" w:cs="Arial"/>
                <w:i/>
                <w:lang w:val="en-US" w:eastAsia="en-GB"/>
              </w:rPr>
              <w:t>St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 xml:space="preserve"> Vincent’s Hospital, Sydney NSW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>, Australia</w:t>
            </w:r>
          </w:p>
          <w:p w14:paraId="4A6EBAC9" w14:textId="2EB75DEA" w:rsidR="00385D11" w:rsidRPr="00297DAB" w:rsidRDefault="0094181D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>
              <w:rPr>
                <w:rFonts w:ascii="Arial" w:hAnsi="Arial" w:cs="Arial"/>
                <w:i/>
                <w:vertAlign w:val="superscript"/>
                <w:lang w:val="en-US" w:eastAsia="en-GB"/>
              </w:rPr>
              <w:t>7</w:t>
            </w:r>
            <w:r w:rsidR="00DF51C7" w:rsidRPr="00297DAB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>Royal Melbourne Hospital, V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 xml:space="preserve">ictoria, Australia </w:t>
            </w:r>
          </w:p>
          <w:p w14:paraId="15009640" w14:textId="01C52CBC" w:rsidR="00385D11" w:rsidRPr="00297DAB" w:rsidRDefault="009056AF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>
              <w:rPr>
                <w:rFonts w:ascii="Arial" w:hAnsi="Arial" w:cs="Arial"/>
                <w:i/>
                <w:vertAlign w:val="superscript"/>
                <w:lang w:val="en-US" w:eastAsia="en-GB"/>
              </w:rPr>
              <w:t>8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 xml:space="preserve">Epworth </w:t>
            </w:r>
            <w:r w:rsidR="00C10070" w:rsidRPr="00297DAB">
              <w:rPr>
                <w:rFonts w:ascii="Arial" w:hAnsi="Arial" w:cs="Arial"/>
                <w:i/>
                <w:lang w:val="en-US" w:eastAsia="en-GB"/>
              </w:rPr>
              <w:t>Eastern,</w:t>
            </w:r>
            <w:r w:rsidR="00C10070">
              <w:rPr>
                <w:rFonts w:ascii="Arial" w:hAnsi="Arial" w:cs="Arial"/>
                <w:i/>
                <w:lang w:val="en-US" w:eastAsia="en-GB"/>
              </w:rPr>
              <w:t xml:space="preserve"> Box </w:t>
            </w:r>
            <w:r w:rsidR="003C5554">
              <w:rPr>
                <w:rFonts w:ascii="Arial" w:hAnsi="Arial" w:cs="Arial"/>
                <w:i/>
                <w:lang w:val="en-US" w:eastAsia="en-GB"/>
              </w:rPr>
              <w:t xml:space="preserve">Hill, </w:t>
            </w:r>
            <w:r w:rsidR="003C5554" w:rsidRPr="00297DAB">
              <w:rPr>
                <w:rFonts w:ascii="Arial" w:hAnsi="Arial" w:cs="Arial"/>
                <w:i/>
                <w:lang w:val="en-US" w:eastAsia="en-GB"/>
              </w:rPr>
              <w:t>Victoria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 xml:space="preserve">, Australia </w:t>
            </w:r>
          </w:p>
          <w:p w14:paraId="56A41065" w14:textId="2DC92976" w:rsidR="00385D11" w:rsidRPr="00297DAB" w:rsidRDefault="005E0000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>
              <w:rPr>
                <w:rFonts w:ascii="Arial" w:hAnsi="Arial" w:cs="Arial"/>
                <w:i/>
                <w:vertAlign w:val="superscript"/>
                <w:lang w:val="en-US" w:eastAsia="en-GB"/>
              </w:rPr>
              <w:t>9</w:t>
            </w:r>
            <w:r w:rsidR="00385D11" w:rsidRPr="2A88D5A2">
              <w:rPr>
                <w:rFonts w:ascii="Arial" w:hAnsi="Arial" w:cs="Arial"/>
                <w:i/>
                <w:vertAlign w:val="superscript"/>
                <w:lang w:val="en-US" w:eastAsia="en-GB"/>
              </w:rPr>
              <w:t xml:space="preserve"> </w:t>
            </w:r>
            <w:r w:rsidR="00385D11" w:rsidRPr="003C5554">
              <w:rPr>
                <w:rFonts w:ascii="Arial" w:hAnsi="Arial" w:cs="Arial"/>
                <w:i/>
                <w:lang w:val="en-US" w:eastAsia="en-GB"/>
              </w:rPr>
              <w:t>British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 xml:space="preserve"> Columbia Cancer Research Centre, Vancouver BC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>, Canada</w:t>
            </w:r>
          </w:p>
          <w:p w14:paraId="4FD30CEE" w14:textId="3CB2C576" w:rsidR="00385D11" w:rsidRPr="0050053A" w:rsidRDefault="5FADE49C" w:rsidP="00385D11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6AE26B81">
              <w:rPr>
                <w:rFonts w:ascii="Arial" w:hAnsi="Arial" w:cs="Arial"/>
                <w:i/>
                <w:iCs/>
                <w:vertAlign w:val="superscript"/>
                <w:lang w:val="en-US" w:eastAsia="en-GB"/>
              </w:rPr>
              <w:t>10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  <w:r w:rsidR="00385D11" w:rsidRPr="00297DAB">
              <w:rPr>
                <w:rFonts w:ascii="Arial" w:hAnsi="Arial" w:cs="Arial"/>
                <w:i/>
                <w:lang w:val="en-US" w:eastAsia="en-GB"/>
              </w:rPr>
              <w:t>Brock University</w:t>
            </w:r>
            <w:r w:rsidR="00D52D4B" w:rsidRPr="00297DAB">
              <w:rPr>
                <w:rFonts w:ascii="Arial" w:hAnsi="Arial" w:cs="Arial"/>
                <w:i/>
                <w:lang w:val="en-US" w:eastAsia="en-GB"/>
              </w:rPr>
              <w:t>,</w:t>
            </w:r>
            <w:r w:rsidR="007B34DD">
              <w:rPr>
                <w:rFonts w:ascii="Arial" w:hAnsi="Arial" w:cs="Arial"/>
                <w:i/>
                <w:lang w:val="en-US" w:eastAsia="en-GB"/>
              </w:rPr>
              <w:t xml:space="preserve"> St </w:t>
            </w:r>
            <w:proofErr w:type="spellStart"/>
            <w:r w:rsidR="007B34DD">
              <w:rPr>
                <w:rFonts w:ascii="Arial" w:hAnsi="Arial" w:cs="Arial"/>
                <w:i/>
                <w:lang w:val="en-US" w:eastAsia="en-GB"/>
              </w:rPr>
              <w:t>Catharines</w:t>
            </w:r>
            <w:proofErr w:type="spellEnd"/>
            <w:r w:rsidR="00D52D4B" w:rsidRPr="00297DAB">
              <w:rPr>
                <w:rFonts w:ascii="Arial" w:hAnsi="Arial" w:cs="Arial"/>
                <w:i/>
                <w:lang w:val="en-US" w:eastAsia="en-GB"/>
              </w:rPr>
              <w:t xml:space="preserve"> Ontario, Canada</w:t>
            </w:r>
          </w:p>
        </w:tc>
      </w:tr>
      <w:tr w:rsidR="00385D11" w:rsidRPr="0050053A" w14:paraId="5CD82442" w14:textId="77777777" w:rsidTr="00CA48A5">
        <w:trPr>
          <w:trHeight w:hRule="exact" w:val="10075"/>
          <w:jc w:val="center"/>
        </w:trPr>
        <w:tc>
          <w:tcPr>
            <w:tcW w:w="8772" w:type="dxa"/>
            <w:shd w:val="clear" w:color="auto" w:fill="auto"/>
          </w:tcPr>
          <w:p w14:paraId="22F45836" w14:textId="153094D5" w:rsidR="00385D11" w:rsidRPr="000E3E82" w:rsidRDefault="00385D11" w:rsidP="00134B9F">
            <w:pPr>
              <w:pStyle w:val="Pa12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>
              <w:rPr>
                <w:sz w:val="22"/>
                <w:szCs w:val="22"/>
              </w:rPr>
              <w:br/>
            </w:r>
            <w:r w:rsidR="00896DFD" w:rsidRPr="000E3E82">
              <w:rPr>
                <w:sz w:val="22"/>
                <w:szCs w:val="22"/>
              </w:rPr>
              <w:t>L</w:t>
            </w:r>
            <w:r w:rsidRPr="000E3E82">
              <w:rPr>
                <w:sz w:val="22"/>
                <w:szCs w:val="22"/>
              </w:rPr>
              <w:t xml:space="preserve">ow dose computed tomography (LDCT) </w:t>
            </w:r>
            <w:r w:rsidR="00896DFD" w:rsidRPr="000E3E82">
              <w:rPr>
                <w:sz w:val="22"/>
                <w:szCs w:val="22"/>
              </w:rPr>
              <w:t xml:space="preserve">screening </w:t>
            </w:r>
            <w:r w:rsidRPr="000E3E82">
              <w:rPr>
                <w:sz w:val="22"/>
                <w:szCs w:val="22"/>
              </w:rPr>
              <w:t xml:space="preserve">reduces mortality from lung cancer. Refinement of the screening pathway using prediction models has been proposed. </w:t>
            </w:r>
            <w:r w:rsidR="00F14740">
              <w:rPr>
                <w:sz w:val="22"/>
                <w:szCs w:val="22"/>
              </w:rPr>
              <w:t>The International Lung Screen Trial (</w:t>
            </w:r>
            <w:r w:rsidRPr="000E3E82">
              <w:rPr>
                <w:sz w:val="22"/>
                <w:szCs w:val="22"/>
              </w:rPr>
              <w:t>ILST</w:t>
            </w:r>
            <w:r w:rsidR="00F14740">
              <w:rPr>
                <w:sz w:val="22"/>
                <w:szCs w:val="22"/>
              </w:rPr>
              <w:t>)</w:t>
            </w:r>
            <w:r w:rsidRPr="000E3E82">
              <w:rPr>
                <w:sz w:val="22"/>
                <w:szCs w:val="22"/>
              </w:rPr>
              <w:t xml:space="preserve"> is a multicentre, prospective </w:t>
            </w:r>
            <w:r w:rsidR="00896DFD" w:rsidRPr="000E3E82">
              <w:rPr>
                <w:sz w:val="22"/>
                <w:szCs w:val="22"/>
              </w:rPr>
              <w:t>trial</w:t>
            </w:r>
            <w:r w:rsidRPr="000E3E82">
              <w:rPr>
                <w:sz w:val="22"/>
                <w:szCs w:val="22"/>
              </w:rPr>
              <w:t xml:space="preserve"> that incorporated risk prediction models for participant selection </w:t>
            </w:r>
            <w:r w:rsidR="00896DFD" w:rsidRPr="000E3E82">
              <w:rPr>
                <w:sz w:val="22"/>
                <w:szCs w:val="22"/>
              </w:rPr>
              <w:t>for screening</w:t>
            </w:r>
            <w:r w:rsidRPr="000E3E82">
              <w:rPr>
                <w:sz w:val="22"/>
                <w:szCs w:val="22"/>
              </w:rPr>
              <w:t xml:space="preserve">. The PLCOm2012 lung cancer risk model </w:t>
            </w:r>
            <w:r w:rsidR="00BD3D36" w:rsidRPr="000E3E82">
              <w:rPr>
                <w:sz w:val="22"/>
                <w:szCs w:val="22"/>
              </w:rPr>
              <w:t>and USPSTF</w:t>
            </w:r>
            <w:r w:rsidR="00231DC4">
              <w:rPr>
                <w:sz w:val="22"/>
                <w:szCs w:val="22"/>
              </w:rPr>
              <w:t>2013</w:t>
            </w:r>
            <w:r w:rsidR="00BD3D36" w:rsidRPr="000E3E82">
              <w:rPr>
                <w:sz w:val="22"/>
                <w:szCs w:val="22"/>
              </w:rPr>
              <w:t>criteria</w:t>
            </w:r>
            <w:r w:rsidR="00E11C8B">
              <w:rPr>
                <w:sz w:val="22"/>
                <w:szCs w:val="22"/>
              </w:rPr>
              <w:t>.</w:t>
            </w:r>
            <w:r w:rsidRPr="000E3E82">
              <w:rPr>
                <w:sz w:val="22"/>
                <w:szCs w:val="22"/>
              </w:rPr>
              <w:t xml:space="preserve"> </w:t>
            </w:r>
          </w:p>
          <w:p w14:paraId="09C19CAA" w14:textId="77777777" w:rsidR="00385D11" w:rsidRPr="000E3E82" w:rsidRDefault="00385D11" w:rsidP="00134B9F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E3E82">
              <w:rPr>
                <w:rStyle w:val="A4"/>
                <w:b/>
                <w:bCs/>
              </w:rPr>
              <w:t xml:space="preserve">Methods: </w:t>
            </w:r>
          </w:p>
          <w:p w14:paraId="64A06C89" w14:textId="7872EBB4" w:rsidR="00385D11" w:rsidRPr="000E3E82" w:rsidRDefault="00385D11" w:rsidP="00134B9F">
            <w:pPr>
              <w:pStyle w:val="Default"/>
              <w:rPr>
                <w:color w:val="auto"/>
                <w:sz w:val="22"/>
                <w:szCs w:val="22"/>
              </w:rPr>
            </w:pPr>
            <w:r w:rsidRPr="000E3E82">
              <w:rPr>
                <w:color w:val="auto"/>
                <w:sz w:val="22"/>
                <w:szCs w:val="22"/>
              </w:rPr>
              <w:t xml:space="preserve">Participants aged 50-74 years were recruited by advertisement. Eligibility was determined by PLCOm2012 lung cancer risk ≥1.51%/6 years or USPSTF2013 criteria (current/former smoker, quit &lt;15 years prior, ≥30 pack years). We calculated the </w:t>
            </w:r>
            <w:r w:rsidR="00BD3D36" w:rsidRPr="000E3E82">
              <w:rPr>
                <w:color w:val="auto"/>
                <w:sz w:val="22"/>
                <w:szCs w:val="22"/>
              </w:rPr>
              <w:t xml:space="preserve">numbers eligible by each </w:t>
            </w:r>
            <w:proofErr w:type="gramStart"/>
            <w:r w:rsidR="00BD3D36" w:rsidRPr="000E3E82">
              <w:rPr>
                <w:color w:val="auto"/>
                <w:sz w:val="22"/>
                <w:szCs w:val="22"/>
              </w:rPr>
              <w:t>criteria</w:t>
            </w:r>
            <w:proofErr w:type="gramEnd"/>
            <w:r w:rsidR="00BD3D36" w:rsidRPr="000E3E82">
              <w:rPr>
                <w:color w:val="auto"/>
                <w:sz w:val="22"/>
                <w:szCs w:val="22"/>
              </w:rPr>
              <w:t xml:space="preserve"> who then went onto LDCT screening.</w:t>
            </w:r>
          </w:p>
          <w:p w14:paraId="7970A519" w14:textId="77777777" w:rsidR="00385D11" w:rsidRPr="000E3E82" w:rsidRDefault="00385D11" w:rsidP="00134B9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3E82">
              <w:rPr>
                <w:b/>
                <w:bCs/>
                <w:sz w:val="22"/>
                <w:szCs w:val="22"/>
              </w:rPr>
              <w:t>Results:</w:t>
            </w:r>
          </w:p>
          <w:p w14:paraId="7326DCF2" w14:textId="6264E697" w:rsidR="00385D11" w:rsidRPr="000E3E82" w:rsidRDefault="00385D11" w:rsidP="00134B9F">
            <w:pPr>
              <w:pStyle w:val="Default"/>
              <w:rPr>
                <w:sz w:val="22"/>
                <w:szCs w:val="22"/>
                <w:lang w:val="en-AU"/>
              </w:rPr>
            </w:pPr>
            <w:r w:rsidRPr="000E3E82">
              <w:rPr>
                <w:sz w:val="22"/>
                <w:szCs w:val="22"/>
                <w:lang w:val="en-AU"/>
              </w:rPr>
              <w:t>Interim results from ILST</w:t>
            </w:r>
            <w:r w:rsidR="00F20D1A" w:rsidRPr="000E3E82">
              <w:rPr>
                <w:sz w:val="22"/>
                <w:szCs w:val="22"/>
                <w:lang w:val="en-AU"/>
              </w:rPr>
              <w:t>; 5518 Australians responded to public advertisements, news releases</w:t>
            </w:r>
            <w:r w:rsidR="00CD33E1" w:rsidRPr="000E3E82">
              <w:rPr>
                <w:sz w:val="22"/>
                <w:szCs w:val="22"/>
                <w:lang w:val="en-AU"/>
              </w:rPr>
              <w:t>,</w:t>
            </w:r>
            <w:r w:rsidR="00CD33E1" w:rsidRPr="000E3E82">
              <w:rPr>
                <w:sz w:val="22"/>
                <w:szCs w:val="22"/>
              </w:rPr>
              <w:t xml:space="preserve"> </w:t>
            </w:r>
            <w:r w:rsidR="00CD33E1" w:rsidRPr="000E3E82">
              <w:rPr>
                <w:sz w:val="22"/>
                <w:szCs w:val="22"/>
                <w:lang w:val="en-AU"/>
              </w:rPr>
              <w:t>G</w:t>
            </w:r>
            <w:r w:rsidR="00231DC4">
              <w:rPr>
                <w:sz w:val="22"/>
                <w:szCs w:val="22"/>
                <w:lang w:val="en-AU"/>
              </w:rPr>
              <w:t xml:space="preserve">eneral </w:t>
            </w:r>
            <w:r w:rsidR="00CD33E1" w:rsidRPr="000E3E82">
              <w:rPr>
                <w:sz w:val="22"/>
                <w:szCs w:val="22"/>
                <w:lang w:val="en-AU"/>
              </w:rPr>
              <w:t>P</w:t>
            </w:r>
            <w:r w:rsidR="00231DC4">
              <w:rPr>
                <w:sz w:val="22"/>
                <w:szCs w:val="22"/>
                <w:lang w:val="en-AU"/>
              </w:rPr>
              <w:t>ractitioner (GP)</w:t>
            </w:r>
            <w:r w:rsidR="00CD33E1" w:rsidRPr="000E3E82">
              <w:rPr>
                <w:sz w:val="22"/>
                <w:szCs w:val="22"/>
                <w:lang w:val="en-AU"/>
              </w:rPr>
              <w:t xml:space="preserve"> based recruitment and D</w:t>
            </w:r>
            <w:r w:rsidR="00231DC4">
              <w:rPr>
                <w:sz w:val="22"/>
                <w:szCs w:val="22"/>
                <w:lang w:val="en-AU"/>
              </w:rPr>
              <w:t xml:space="preserve">epartment of </w:t>
            </w:r>
            <w:r w:rsidR="00CD33E1" w:rsidRPr="000E3E82">
              <w:rPr>
                <w:sz w:val="22"/>
                <w:szCs w:val="22"/>
                <w:lang w:val="en-AU"/>
              </w:rPr>
              <w:t>H</w:t>
            </w:r>
            <w:r w:rsidR="00231DC4">
              <w:rPr>
                <w:sz w:val="22"/>
                <w:szCs w:val="22"/>
                <w:lang w:val="en-AU"/>
              </w:rPr>
              <w:t xml:space="preserve">ealth </w:t>
            </w:r>
            <w:r w:rsidR="00CD33E1" w:rsidRPr="000E3E82">
              <w:rPr>
                <w:sz w:val="22"/>
                <w:szCs w:val="22"/>
                <w:lang w:val="en-AU"/>
              </w:rPr>
              <w:t>S</w:t>
            </w:r>
            <w:r w:rsidR="00231DC4">
              <w:rPr>
                <w:sz w:val="22"/>
                <w:szCs w:val="22"/>
                <w:lang w:val="en-AU"/>
              </w:rPr>
              <w:t>ervices (</w:t>
            </w:r>
            <w:proofErr w:type="gramStart"/>
            <w:r w:rsidR="00231DC4">
              <w:rPr>
                <w:sz w:val="22"/>
                <w:szCs w:val="22"/>
                <w:lang w:val="en-AU"/>
              </w:rPr>
              <w:t xml:space="preserve">DHS) </w:t>
            </w:r>
            <w:r w:rsidR="00CD33E1" w:rsidRPr="000E3E82">
              <w:rPr>
                <w:sz w:val="22"/>
                <w:szCs w:val="22"/>
                <w:lang w:val="en-AU"/>
              </w:rPr>
              <w:t xml:space="preserve"> mailout</w:t>
            </w:r>
            <w:proofErr w:type="gramEnd"/>
            <w:r w:rsidR="00F20D1A" w:rsidRPr="000E3E82">
              <w:rPr>
                <w:sz w:val="22"/>
                <w:szCs w:val="22"/>
                <w:lang w:val="en-AU"/>
              </w:rPr>
              <w:t xml:space="preserve"> and were interested in being enrolled in ILST </w:t>
            </w:r>
            <w:r w:rsidR="00231DC4">
              <w:rPr>
                <w:sz w:val="22"/>
                <w:szCs w:val="22"/>
                <w:lang w:val="en-AU"/>
              </w:rPr>
              <w:t xml:space="preserve"> and </w:t>
            </w:r>
            <w:r w:rsidR="00F20D1A" w:rsidRPr="000E3E82">
              <w:rPr>
                <w:sz w:val="22"/>
                <w:szCs w:val="22"/>
                <w:lang w:val="en-AU"/>
              </w:rPr>
              <w:t>who contacted ILST for eligibility assessment</w:t>
            </w:r>
            <w:r w:rsidR="00FC21E0" w:rsidRPr="000E3E82">
              <w:rPr>
                <w:sz w:val="22"/>
                <w:szCs w:val="22"/>
                <w:lang w:val="en-AU"/>
              </w:rPr>
              <w:t xml:space="preserve">. 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In terms of eligible participants, 2375 </w:t>
            </w:r>
            <w:r w:rsidR="00BD3D36" w:rsidRPr="000E3E82">
              <w:rPr>
                <w:sz w:val="22"/>
                <w:szCs w:val="22"/>
                <w:lang w:val="en-AU"/>
              </w:rPr>
              <w:t xml:space="preserve">(61.6%) 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met both the </w:t>
            </w:r>
            <w:r w:rsidR="00231DC4" w:rsidRPr="000E3E82">
              <w:rPr>
                <w:sz w:val="22"/>
                <w:szCs w:val="22"/>
                <w:lang w:val="en-AU"/>
              </w:rPr>
              <w:t>PLCOm2</w:t>
            </w:r>
            <w:r w:rsidR="00231DC4">
              <w:rPr>
                <w:sz w:val="22"/>
                <w:szCs w:val="22"/>
                <w:lang w:val="en-AU"/>
              </w:rPr>
              <w:t>01</w:t>
            </w:r>
            <w:r w:rsidR="00231DC4" w:rsidRPr="000E3E82">
              <w:rPr>
                <w:sz w:val="22"/>
                <w:szCs w:val="22"/>
                <w:lang w:val="en-AU"/>
              </w:rPr>
              <w:t xml:space="preserve">2 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threshold of 1.5%/6 years and the USPSTF2013 criteria.  686 </w:t>
            </w:r>
            <w:r w:rsidR="00BD3D36" w:rsidRPr="000E3E82">
              <w:rPr>
                <w:sz w:val="22"/>
                <w:szCs w:val="22"/>
                <w:lang w:val="en-AU"/>
              </w:rPr>
              <w:t xml:space="preserve">(12.4%) 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participants were eligible by the PLCOm2102 threshold only and 340 </w:t>
            </w:r>
            <w:r w:rsidR="00BD3D36" w:rsidRPr="000E3E82">
              <w:rPr>
                <w:sz w:val="22"/>
                <w:szCs w:val="22"/>
                <w:lang w:val="en-AU"/>
              </w:rPr>
              <w:t>(6</w:t>
            </w:r>
            <w:r w:rsidR="00FC21E0" w:rsidRPr="000E3E82">
              <w:rPr>
                <w:sz w:val="22"/>
                <w:szCs w:val="22"/>
                <w:lang w:val="en-AU"/>
              </w:rPr>
              <w:t>.</w:t>
            </w:r>
            <w:r w:rsidR="00BD3D36" w:rsidRPr="000E3E82">
              <w:rPr>
                <w:sz w:val="22"/>
                <w:szCs w:val="22"/>
                <w:lang w:val="en-AU"/>
              </w:rPr>
              <w:t xml:space="preserve">2%) </w:t>
            </w:r>
            <w:r w:rsidR="00F20D1A" w:rsidRPr="000E3E82">
              <w:rPr>
                <w:sz w:val="22"/>
                <w:szCs w:val="22"/>
                <w:lang w:val="en-AU"/>
              </w:rPr>
              <w:t>on the USPSTF2013 criteria only.</w:t>
            </w:r>
            <w:r w:rsidR="00FC21E0" w:rsidRPr="000E3E82">
              <w:rPr>
                <w:sz w:val="22"/>
                <w:szCs w:val="22"/>
                <w:lang w:val="en-AU"/>
              </w:rPr>
              <w:t xml:space="preserve"> 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Of </w:t>
            </w:r>
            <w:r w:rsidR="00E65962" w:rsidRPr="000E3E82">
              <w:rPr>
                <w:sz w:val="22"/>
                <w:szCs w:val="22"/>
                <w:lang w:val="en-AU"/>
              </w:rPr>
              <w:t>the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 3401 eligible participants, 2096 </w:t>
            </w:r>
            <w:r w:rsidR="007A7206" w:rsidRPr="000E3E82">
              <w:rPr>
                <w:sz w:val="22"/>
                <w:szCs w:val="22"/>
                <w:lang w:val="en-AU"/>
              </w:rPr>
              <w:t>(61.6%) proceeded to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 </w:t>
            </w:r>
            <w:r w:rsidR="00BD3D36" w:rsidRPr="000E3E82">
              <w:rPr>
                <w:color w:val="auto"/>
                <w:sz w:val="22"/>
                <w:szCs w:val="22"/>
              </w:rPr>
              <w:t>LDCT</w:t>
            </w:r>
            <w:r w:rsidR="00F20D1A" w:rsidRPr="000E3E82">
              <w:rPr>
                <w:sz w:val="22"/>
                <w:szCs w:val="22"/>
                <w:lang w:val="en-AU"/>
              </w:rPr>
              <w:t>. 485 (14.3%) were eligible on PLCOm2</w:t>
            </w:r>
            <w:r w:rsidR="00231DC4">
              <w:rPr>
                <w:sz w:val="22"/>
                <w:szCs w:val="22"/>
                <w:lang w:val="en-AU"/>
              </w:rPr>
              <w:t>012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 or USPSTF2013 criteria but were ineligible on other exclusion criteria and 524 (15.</w:t>
            </w:r>
            <w:r w:rsidR="00BD3D36" w:rsidRPr="000E3E82">
              <w:rPr>
                <w:sz w:val="22"/>
                <w:szCs w:val="22"/>
                <w:lang w:val="en-AU"/>
              </w:rPr>
              <w:t xml:space="preserve">4%) </w:t>
            </w:r>
            <w:r w:rsidR="00F20D1A" w:rsidRPr="000E3E82">
              <w:rPr>
                <w:sz w:val="22"/>
                <w:szCs w:val="22"/>
                <w:lang w:val="en-AU"/>
              </w:rPr>
              <w:t>decline</w:t>
            </w:r>
            <w:r w:rsidR="00BD3D36" w:rsidRPr="000E3E82">
              <w:rPr>
                <w:sz w:val="22"/>
                <w:szCs w:val="22"/>
                <w:lang w:val="en-AU"/>
              </w:rPr>
              <w:t>d</w:t>
            </w:r>
            <w:r w:rsidR="00F20D1A" w:rsidRPr="000E3E82">
              <w:rPr>
                <w:sz w:val="22"/>
                <w:szCs w:val="22"/>
                <w:lang w:val="en-AU"/>
              </w:rPr>
              <w:t xml:space="preserve"> to undertake a </w:t>
            </w:r>
            <w:r w:rsidR="00BD3D36" w:rsidRPr="000E3E82">
              <w:rPr>
                <w:color w:val="auto"/>
                <w:sz w:val="22"/>
                <w:szCs w:val="22"/>
              </w:rPr>
              <w:t>LDCT</w:t>
            </w:r>
            <w:r w:rsidR="00F20D1A" w:rsidRPr="000E3E82">
              <w:rPr>
                <w:sz w:val="22"/>
                <w:szCs w:val="22"/>
                <w:lang w:val="en-AU"/>
              </w:rPr>
              <w:t>.</w:t>
            </w:r>
          </w:p>
          <w:p w14:paraId="20995A21" w14:textId="20C6EFAD" w:rsidR="0071255F" w:rsidRPr="000E3E82" w:rsidRDefault="00F20D1A" w:rsidP="00134B9F">
            <w:pPr>
              <w:pStyle w:val="Default"/>
              <w:rPr>
                <w:sz w:val="22"/>
                <w:szCs w:val="22"/>
                <w:lang w:val="en-AU"/>
              </w:rPr>
            </w:pPr>
            <w:r w:rsidRPr="000E3E82">
              <w:rPr>
                <w:noProof/>
                <w:sz w:val="22"/>
                <w:szCs w:val="22"/>
                <w:lang w:val="en-AU"/>
              </w:rPr>
              <w:drawing>
                <wp:inline distT="0" distB="0" distL="0" distR="0" wp14:anchorId="0AE57520" wp14:editId="1FCB05B9">
                  <wp:extent cx="5433060" cy="13989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06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B43BE" w14:textId="77777777" w:rsidR="00385D11" w:rsidRPr="000E3E82" w:rsidRDefault="00385D11" w:rsidP="00134B9F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E3E82">
              <w:rPr>
                <w:rStyle w:val="A4"/>
                <w:b/>
                <w:bCs/>
              </w:rPr>
              <w:t xml:space="preserve">Conclusion: </w:t>
            </w:r>
          </w:p>
          <w:p w14:paraId="77359B5D" w14:textId="0F312968" w:rsidR="00385D11" w:rsidRPr="000E3E82" w:rsidRDefault="007A7206" w:rsidP="00134B9F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0E3E82">
              <w:rPr>
                <w:sz w:val="22"/>
                <w:szCs w:val="22"/>
              </w:rPr>
              <w:t xml:space="preserve">Nearly 2/3rds of Australians interested in lung cancer screening </w:t>
            </w:r>
            <w:r w:rsidR="00926032" w:rsidRPr="000E3E82">
              <w:rPr>
                <w:sz w:val="22"/>
                <w:szCs w:val="22"/>
              </w:rPr>
              <w:t>were</w:t>
            </w:r>
            <w:r w:rsidR="00385D11" w:rsidRPr="000E3E82">
              <w:rPr>
                <w:sz w:val="22"/>
                <w:szCs w:val="22"/>
              </w:rPr>
              <w:t xml:space="preserve"> eligible for </w:t>
            </w:r>
            <w:r w:rsidR="00926032" w:rsidRPr="000E3E82">
              <w:rPr>
                <w:sz w:val="22"/>
                <w:szCs w:val="22"/>
              </w:rPr>
              <w:t>LDCT</w:t>
            </w:r>
            <w:r w:rsidR="00385D11" w:rsidRPr="000E3E82">
              <w:rPr>
                <w:sz w:val="22"/>
                <w:szCs w:val="22"/>
              </w:rPr>
              <w:t xml:space="preserve"> by either PLCOm2012 or USPTSF 2013 </w:t>
            </w:r>
            <w:r w:rsidR="00926032" w:rsidRPr="000E3E82">
              <w:rPr>
                <w:sz w:val="22"/>
                <w:szCs w:val="22"/>
              </w:rPr>
              <w:t>criteria</w:t>
            </w:r>
            <w:r w:rsidR="00385D11" w:rsidRPr="000E3E82">
              <w:rPr>
                <w:sz w:val="22"/>
                <w:szCs w:val="22"/>
              </w:rPr>
              <w:t xml:space="preserve">. </w:t>
            </w:r>
            <w:r w:rsidR="00926032" w:rsidRPr="000E3E82">
              <w:rPr>
                <w:sz w:val="22"/>
                <w:szCs w:val="22"/>
              </w:rPr>
              <w:t xml:space="preserve">Of eligible participants 61.6% proceeded to LDCT with nearly 30% ineligible on exclusion criteria </w:t>
            </w:r>
            <w:r w:rsidR="00133C4F" w:rsidRPr="000E3E82">
              <w:rPr>
                <w:sz w:val="22"/>
                <w:szCs w:val="22"/>
              </w:rPr>
              <w:t>or declining to proceed to LDCT</w:t>
            </w:r>
            <w:r w:rsidR="00FC21E0" w:rsidRPr="000E3E82">
              <w:rPr>
                <w:sz w:val="22"/>
                <w:szCs w:val="22"/>
              </w:rPr>
              <w:t xml:space="preserve">. </w:t>
            </w:r>
            <w:r w:rsidR="00385D11" w:rsidRPr="000E3E82">
              <w:rPr>
                <w:sz w:val="22"/>
                <w:szCs w:val="22"/>
              </w:rPr>
              <w:t xml:space="preserve">These findings </w:t>
            </w:r>
            <w:r w:rsidR="00E65962" w:rsidRPr="000E3E82">
              <w:rPr>
                <w:sz w:val="22"/>
                <w:szCs w:val="22"/>
              </w:rPr>
              <w:t xml:space="preserve">will hopefully </w:t>
            </w:r>
            <w:r w:rsidR="00385D11" w:rsidRPr="000E3E82">
              <w:rPr>
                <w:sz w:val="22"/>
                <w:szCs w:val="22"/>
              </w:rPr>
              <w:t xml:space="preserve">inform </w:t>
            </w:r>
            <w:r w:rsidR="00E65962" w:rsidRPr="000E3E82">
              <w:rPr>
                <w:sz w:val="22"/>
                <w:szCs w:val="22"/>
              </w:rPr>
              <w:t>the upcoming</w:t>
            </w:r>
            <w:r w:rsidR="00385D11" w:rsidRPr="000E3E82">
              <w:rPr>
                <w:sz w:val="22"/>
                <w:szCs w:val="22"/>
              </w:rPr>
              <w:t xml:space="preserve"> Australian lung cancer screening program</w:t>
            </w:r>
            <w:r w:rsidR="00133C4F" w:rsidRPr="000E3E82">
              <w:rPr>
                <w:sz w:val="22"/>
                <w:szCs w:val="22"/>
              </w:rPr>
              <w:t>.</w:t>
            </w:r>
          </w:p>
          <w:p w14:paraId="445D28B2" w14:textId="064CD4B6" w:rsidR="00385D11" w:rsidRDefault="00385D11" w:rsidP="00134B9F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0E3E82">
              <w:rPr>
                <w:rStyle w:val="A4"/>
                <w:b/>
                <w:bCs/>
              </w:rPr>
              <w:t xml:space="preserve">Grant Support: </w:t>
            </w:r>
            <w:r w:rsidRPr="000E3E82">
              <w:rPr>
                <w:sz w:val="22"/>
                <w:szCs w:val="22"/>
              </w:rPr>
              <w:t>ILST is part funded by the N</w:t>
            </w:r>
            <w:r w:rsidR="00417B62">
              <w:rPr>
                <w:sz w:val="22"/>
                <w:szCs w:val="22"/>
              </w:rPr>
              <w:t xml:space="preserve">ational </w:t>
            </w:r>
            <w:r w:rsidRPr="000E3E82">
              <w:rPr>
                <w:sz w:val="22"/>
                <w:szCs w:val="22"/>
              </w:rPr>
              <w:t>H</w:t>
            </w:r>
            <w:r w:rsidR="00417B62">
              <w:rPr>
                <w:sz w:val="22"/>
                <w:szCs w:val="22"/>
              </w:rPr>
              <w:t>ealth and Medical Research Council (NHMRC)</w:t>
            </w:r>
            <w:r w:rsidRPr="000E3E82">
              <w:rPr>
                <w:sz w:val="22"/>
                <w:szCs w:val="22"/>
              </w:rPr>
              <w:t>.</w:t>
            </w:r>
            <w:r w:rsidRPr="000E3E8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44EF0A88" w14:textId="77777777" w:rsidR="00385D11" w:rsidRDefault="00385D11" w:rsidP="00800F68">
            <w:pPr>
              <w:pStyle w:val="Default"/>
            </w:pPr>
          </w:p>
          <w:p w14:paraId="2173E364" w14:textId="77777777" w:rsidR="00385D11" w:rsidRPr="003E35F0" w:rsidRDefault="00385D11" w:rsidP="00800F68">
            <w:pPr>
              <w:pStyle w:val="Default"/>
            </w:pPr>
          </w:p>
          <w:p w14:paraId="75E740F3" w14:textId="77777777" w:rsidR="00385D11" w:rsidRPr="0050053A" w:rsidRDefault="00385D11" w:rsidP="00800F68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43B3B160" w14:textId="77777777" w:rsidR="00385D11" w:rsidRPr="0050053A" w:rsidRDefault="00385D11" w:rsidP="00800F68">
            <w:pPr>
              <w:pStyle w:val="Default"/>
              <w:rPr>
                <w:rStyle w:val="A4"/>
                <w:bCs/>
              </w:rPr>
            </w:pPr>
          </w:p>
          <w:p w14:paraId="5FA87688" w14:textId="77777777" w:rsidR="00385D11" w:rsidRPr="0050053A" w:rsidRDefault="00385D11" w:rsidP="00800F68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605D16A" w14:textId="28D9A250" w:rsidR="00936A4A" w:rsidRPr="00896DFD" w:rsidRDefault="00936A4A">
      <w:pPr>
        <w:rPr>
          <w:u w:val="single"/>
          <w:lang w:val="en-US"/>
        </w:rPr>
      </w:pPr>
    </w:p>
    <w:p w14:paraId="4C6DD661" w14:textId="3FC30946" w:rsidR="00495724" w:rsidRPr="004B2C41" w:rsidRDefault="00495724" w:rsidP="00896DFD">
      <w:pPr>
        <w:pStyle w:val="NoSpacing"/>
      </w:pPr>
    </w:p>
    <w:sectPr w:rsidR="00495724" w:rsidRPr="004B2C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9575" w14:textId="77777777" w:rsidR="00931EC9" w:rsidRDefault="00931EC9" w:rsidP="004F45D0">
      <w:pPr>
        <w:spacing w:after="0" w:line="240" w:lineRule="auto"/>
      </w:pPr>
      <w:r>
        <w:separator/>
      </w:r>
    </w:p>
  </w:endnote>
  <w:endnote w:type="continuationSeparator" w:id="0">
    <w:p w14:paraId="23AC60B8" w14:textId="77777777" w:rsidR="00931EC9" w:rsidRDefault="00931EC9" w:rsidP="004F45D0">
      <w:pPr>
        <w:spacing w:after="0" w:line="240" w:lineRule="auto"/>
      </w:pPr>
      <w:r>
        <w:continuationSeparator/>
      </w:r>
    </w:p>
  </w:endnote>
  <w:endnote w:type="continuationNotice" w:id="1">
    <w:p w14:paraId="58FF81D4" w14:textId="77777777" w:rsidR="00931EC9" w:rsidRDefault="00931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D1C7" w14:textId="77777777" w:rsidR="004F45D0" w:rsidRDefault="004F4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6119" w14:textId="77777777" w:rsidR="004F45D0" w:rsidRDefault="004F4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2B26" w14:textId="77777777" w:rsidR="004F45D0" w:rsidRDefault="004F4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6BBB" w14:textId="77777777" w:rsidR="00931EC9" w:rsidRDefault="00931EC9" w:rsidP="004F45D0">
      <w:pPr>
        <w:spacing w:after="0" w:line="240" w:lineRule="auto"/>
      </w:pPr>
      <w:r>
        <w:separator/>
      </w:r>
    </w:p>
  </w:footnote>
  <w:footnote w:type="continuationSeparator" w:id="0">
    <w:p w14:paraId="40C952CE" w14:textId="77777777" w:rsidR="00931EC9" w:rsidRDefault="00931EC9" w:rsidP="004F45D0">
      <w:pPr>
        <w:spacing w:after="0" w:line="240" w:lineRule="auto"/>
      </w:pPr>
      <w:r>
        <w:continuationSeparator/>
      </w:r>
    </w:p>
  </w:footnote>
  <w:footnote w:type="continuationNotice" w:id="1">
    <w:p w14:paraId="26164B76" w14:textId="77777777" w:rsidR="00931EC9" w:rsidRDefault="00931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9E75" w14:textId="77777777" w:rsidR="004F45D0" w:rsidRDefault="004F4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5EEC" w14:textId="3E27EEAB" w:rsidR="004F45D0" w:rsidRDefault="004F4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E233" w14:textId="77777777" w:rsidR="004F45D0" w:rsidRDefault="004F4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F6285"/>
    <w:multiLevelType w:val="hybridMultilevel"/>
    <w:tmpl w:val="82266170"/>
    <w:lvl w:ilvl="0" w:tplc="2BC2173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MbK0NDEwMjczNTJV0lEKTi0uzszPAykwqgUA5N/0tCwAAAA="/>
  </w:docVars>
  <w:rsids>
    <w:rsidRoot w:val="00495724"/>
    <w:rsid w:val="00002EA5"/>
    <w:rsid w:val="0001265B"/>
    <w:rsid w:val="00024B00"/>
    <w:rsid w:val="00050B4C"/>
    <w:rsid w:val="0005434A"/>
    <w:rsid w:val="00063CA9"/>
    <w:rsid w:val="000652B0"/>
    <w:rsid w:val="000A3AF9"/>
    <w:rsid w:val="000A409C"/>
    <w:rsid w:val="000B4D40"/>
    <w:rsid w:val="000E3E82"/>
    <w:rsid w:val="000E6933"/>
    <w:rsid w:val="000F68CF"/>
    <w:rsid w:val="00116577"/>
    <w:rsid w:val="00133C4F"/>
    <w:rsid w:val="00134B9F"/>
    <w:rsid w:val="001762F4"/>
    <w:rsid w:val="00193E20"/>
    <w:rsid w:val="001C0EC0"/>
    <w:rsid w:val="001D1C4C"/>
    <w:rsid w:val="001D4B3E"/>
    <w:rsid w:val="002047C1"/>
    <w:rsid w:val="002231A1"/>
    <w:rsid w:val="00231DC4"/>
    <w:rsid w:val="0023267A"/>
    <w:rsid w:val="00234263"/>
    <w:rsid w:val="002665E7"/>
    <w:rsid w:val="0026712F"/>
    <w:rsid w:val="0029339C"/>
    <w:rsid w:val="00295B0C"/>
    <w:rsid w:val="00297DAB"/>
    <w:rsid w:val="002B2D67"/>
    <w:rsid w:val="002D1F0D"/>
    <w:rsid w:val="002D58DD"/>
    <w:rsid w:val="002E4265"/>
    <w:rsid w:val="002E77BB"/>
    <w:rsid w:val="003540AE"/>
    <w:rsid w:val="00354AE5"/>
    <w:rsid w:val="00355F53"/>
    <w:rsid w:val="0035627A"/>
    <w:rsid w:val="00356B52"/>
    <w:rsid w:val="003612D5"/>
    <w:rsid w:val="00367546"/>
    <w:rsid w:val="00385D11"/>
    <w:rsid w:val="00393FF6"/>
    <w:rsid w:val="003947A7"/>
    <w:rsid w:val="003A1E9B"/>
    <w:rsid w:val="003A6D80"/>
    <w:rsid w:val="003B1487"/>
    <w:rsid w:val="003C37C2"/>
    <w:rsid w:val="003C5554"/>
    <w:rsid w:val="003E144D"/>
    <w:rsid w:val="003E1BA8"/>
    <w:rsid w:val="003F1184"/>
    <w:rsid w:val="004038E8"/>
    <w:rsid w:val="00404FB2"/>
    <w:rsid w:val="00417B62"/>
    <w:rsid w:val="00424778"/>
    <w:rsid w:val="004728B7"/>
    <w:rsid w:val="00486F80"/>
    <w:rsid w:val="004911B9"/>
    <w:rsid w:val="00492D7B"/>
    <w:rsid w:val="00495724"/>
    <w:rsid w:val="004A0D46"/>
    <w:rsid w:val="004B2C41"/>
    <w:rsid w:val="004D1E2A"/>
    <w:rsid w:val="004E3DEA"/>
    <w:rsid w:val="004E56B7"/>
    <w:rsid w:val="004E6A3D"/>
    <w:rsid w:val="004F45D0"/>
    <w:rsid w:val="004F4614"/>
    <w:rsid w:val="005128CC"/>
    <w:rsid w:val="00550DF8"/>
    <w:rsid w:val="00591FA6"/>
    <w:rsid w:val="005B1F0C"/>
    <w:rsid w:val="005E0000"/>
    <w:rsid w:val="005E3C06"/>
    <w:rsid w:val="005E50EC"/>
    <w:rsid w:val="00607F73"/>
    <w:rsid w:val="00612850"/>
    <w:rsid w:val="006308B9"/>
    <w:rsid w:val="00675089"/>
    <w:rsid w:val="0068405C"/>
    <w:rsid w:val="006E47A9"/>
    <w:rsid w:val="006F3384"/>
    <w:rsid w:val="006F5B05"/>
    <w:rsid w:val="00705B8C"/>
    <w:rsid w:val="007106CB"/>
    <w:rsid w:val="0071255F"/>
    <w:rsid w:val="00720FC8"/>
    <w:rsid w:val="00737671"/>
    <w:rsid w:val="00737E44"/>
    <w:rsid w:val="007571D4"/>
    <w:rsid w:val="00797791"/>
    <w:rsid w:val="007A703C"/>
    <w:rsid w:val="007A7206"/>
    <w:rsid w:val="007B34DD"/>
    <w:rsid w:val="007B53DA"/>
    <w:rsid w:val="007C1C70"/>
    <w:rsid w:val="007D389E"/>
    <w:rsid w:val="007F59F8"/>
    <w:rsid w:val="00826B14"/>
    <w:rsid w:val="0083360E"/>
    <w:rsid w:val="00836853"/>
    <w:rsid w:val="00841DF8"/>
    <w:rsid w:val="008731CD"/>
    <w:rsid w:val="00883BF8"/>
    <w:rsid w:val="00894195"/>
    <w:rsid w:val="00896DFD"/>
    <w:rsid w:val="008B489E"/>
    <w:rsid w:val="008C1333"/>
    <w:rsid w:val="008E2C63"/>
    <w:rsid w:val="008F73AB"/>
    <w:rsid w:val="00901001"/>
    <w:rsid w:val="0090279E"/>
    <w:rsid w:val="009056AF"/>
    <w:rsid w:val="00926032"/>
    <w:rsid w:val="00931EC9"/>
    <w:rsid w:val="00933D2A"/>
    <w:rsid w:val="00936A4A"/>
    <w:rsid w:val="00937304"/>
    <w:rsid w:val="0094181D"/>
    <w:rsid w:val="00942290"/>
    <w:rsid w:val="0095684E"/>
    <w:rsid w:val="009737E0"/>
    <w:rsid w:val="009815CB"/>
    <w:rsid w:val="0098794C"/>
    <w:rsid w:val="00987C1D"/>
    <w:rsid w:val="00994438"/>
    <w:rsid w:val="009A4F26"/>
    <w:rsid w:val="009C149E"/>
    <w:rsid w:val="009E244C"/>
    <w:rsid w:val="00A0072B"/>
    <w:rsid w:val="00A12741"/>
    <w:rsid w:val="00A1350F"/>
    <w:rsid w:val="00A149CB"/>
    <w:rsid w:val="00A51BC5"/>
    <w:rsid w:val="00A7432F"/>
    <w:rsid w:val="00A76B30"/>
    <w:rsid w:val="00A818D5"/>
    <w:rsid w:val="00A9368E"/>
    <w:rsid w:val="00AA7940"/>
    <w:rsid w:val="00AB001B"/>
    <w:rsid w:val="00AD5A6A"/>
    <w:rsid w:val="00B2265B"/>
    <w:rsid w:val="00B3000F"/>
    <w:rsid w:val="00B65D06"/>
    <w:rsid w:val="00B65FA3"/>
    <w:rsid w:val="00BA1BCA"/>
    <w:rsid w:val="00BA2575"/>
    <w:rsid w:val="00BC5CEC"/>
    <w:rsid w:val="00BD3D36"/>
    <w:rsid w:val="00BF649B"/>
    <w:rsid w:val="00BF774A"/>
    <w:rsid w:val="00C10070"/>
    <w:rsid w:val="00C41FA8"/>
    <w:rsid w:val="00C565A3"/>
    <w:rsid w:val="00C71EA5"/>
    <w:rsid w:val="00C7760D"/>
    <w:rsid w:val="00CA0C6C"/>
    <w:rsid w:val="00CA48A5"/>
    <w:rsid w:val="00CB03A4"/>
    <w:rsid w:val="00CB6209"/>
    <w:rsid w:val="00CC54EE"/>
    <w:rsid w:val="00CD2EE8"/>
    <w:rsid w:val="00CD33E1"/>
    <w:rsid w:val="00CD3897"/>
    <w:rsid w:val="00CD4D30"/>
    <w:rsid w:val="00CD7586"/>
    <w:rsid w:val="00D3093E"/>
    <w:rsid w:val="00D463F5"/>
    <w:rsid w:val="00D52D4B"/>
    <w:rsid w:val="00D74BC4"/>
    <w:rsid w:val="00D90016"/>
    <w:rsid w:val="00D91B2B"/>
    <w:rsid w:val="00DA1529"/>
    <w:rsid w:val="00DA6904"/>
    <w:rsid w:val="00DE2A06"/>
    <w:rsid w:val="00DE599F"/>
    <w:rsid w:val="00DF22EB"/>
    <w:rsid w:val="00DF51C7"/>
    <w:rsid w:val="00E02D82"/>
    <w:rsid w:val="00E11C8B"/>
    <w:rsid w:val="00E144DA"/>
    <w:rsid w:val="00E25FDE"/>
    <w:rsid w:val="00E33DC3"/>
    <w:rsid w:val="00E579C7"/>
    <w:rsid w:val="00E61541"/>
    <w:rsid w:val="00E65962"/>
    <w:rsid w:val="00E674E5"/>
    <w:rsid w:val="00E8278E"/>
    <w:rsid w:val="00E85512"/>
    <w:rsid w:val="00E94309"/>
    <w:rsid w:val="00E95154"/>
    <w:rsid w:val="00EA3E1A"/>
    <w:rsid w:val="00ED6C97"/>
    <w:rsid w:val="00EF306B"/>
    <w:rsid w:val="00F14740"/>
    <w:rsid w:val="00F162AA"/>
    <w:rsid w:val="00F20D1A"/>
    <w:rsid w:val="00F468C9"/>
    <w:rsid w:val="00F936B4"/>
    <w:rsid w:val="00F94CB6"/>
    <w:rsid w:val="00FC21E0"/>
    <w:rsid w:val="13A25213"/>
    <w:rsid w:val="1AB80D6E"/>
    <w:rsid w:val="1DA9CB33"/>
    <w:rsid w:val="287923FA"/>
    <w:rsid w:val="2A88D5A2"/>
    <w:rsid w:val="3134EEB9"/>
    <w:rsid w:val="37ADF663"/>
    <w:rsid w:val="3F24EF9D"/>
    <w:rsid w:val="42898DE1"/>
    <w:rsid w:val="4DA5ECA9"/>
    <w:rsid w:val="545E5BCA"/>
    <w:rsid w:val="5FADE49C"/>
    <w:rsid w:val="68BDDC32"/>
    <w:rsid w:val="6AE26B81"/>
    <w:rsid w:val="6DCD8D70"/>
    <w:rsid w:val="70220F99"/>
    <w:rsid w:val="70FFB447"/>
    <w:rsid w:val="78F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A1899"/>
  <w15:docId w15:val="{90F273A3-4599-4FAB-B1CD-896056DF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7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D4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C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A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D0"/>
  </w:style>
  <w:style w:type="paragraph" w:styleId="Footer">
    <w:name w:val="footer"/>
    <w:basedOn w:val="Normal"/>
    <w:link w:val="FooterChar"/>
    <w:uiPriority w:val="99"/>
    <w:unhideWhenUsed/>
    <w:rsid w:val="004F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D0"/>
  </w:style>
  <w:style w:type="paragraph" w:styleId="ListParagraph">
    <w:name w:val="List Paragraph"/>
    <w:basedOn w:val="Normal"/>
    <w:uiPriority w:val="34"/>
    <w:qFormat/>
    <w:rsid w:val="0023267A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94438"/>
    <w:pPr>
      <w:spacing w:after="0" w:line="240" w:lineRule="auto"/>
    </w:pPr>
  </w:style>
  <w:style w:type="paragraph" w:customStyle="1" w:styleId="Default">
    <w:name w:val="Default"/>
    <w:rsid w:val="00385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character" w:customStyle="1" w:styleId="A4">
    <w:name w:val="A4"/>
    <w:uiPriority w:val="99"/>
    <w:rsid w:val="00385D11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385D11"/>
    <w:pPr>
      <w:spacing w:line="241" w:lineRule="atLeast"/>
    </w:pPr>
    <w:rPr>
      <w:color w:val="auto"/>
    </w:rPr>
  </w:style>
  <w:style w:type="character" w:customStyle="1" w:styleId="normaltextrun">
    <w:name w:val="normaltextrun"/>
    <w:basedOn w:val="DefaultParagraphFont"/>
    <w:rsid w:val="00F1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B6883C102D74086D10F54979104AB" ma:contentTypeVersion="5" ma:contentTypeDescription="Create a new document." ma:contentTypeScope="" ma:versionID="036eab210eb2673a4f20a18d0750e636">
  <xsd:schema xmlns:xsd="http://www.w3.org/2001/XMLSchema" xmlns:xs="http://www.w3.org/2001/XMLSchema" xmlns:p="http://schemas.microsoft.com/office/2006/metadata/properties" xmlns:ns2="b26d277f-fbd4-4039-90c8-edd9a5c303bf" xmlns:ns3="bbf30e55-7b60-44ab-af54-4f2659444d3f" targetNamespace="http://schemas.microsoft.com/office/2006/metadata/properties" ma:root="true" ma:fieldsID="36b4dad8e749aec9e171d9a9fcf999a3" ns2:_="" ns3:_="">
    <xsd:import namespace="b26d277f-fbd4-4039-90c8-edd9a5c303bf"/>
    <xsd:import namespace="bbf30e55-7b60-44ab-af54-4f2659444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d277f-fbd4-4039-90c8-edd9a5c30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0e55-7b60-44ab-af54-4f2659444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FAC9C-2B22-4CB5-9502-6CBC9C0D6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ABC9EE-34D9-4F58-86D3-D67E83783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98C16D-36AD-4663-8FC8-607A723FC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d277f-fbd4-4039-90c8-edd9a5c303bf"/>
    <ds:schemaRef ds:uri="bbf30e55-7b60-44ab-af54-4f2659444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CA4B6-83E7-4505-B96F-9BB40E2D8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Sinead Litt</cp:lastModifiedBy>
  <cp:revision>3</cp:revision>
  <dcterms:created xsi:type="dcterms:W3CDTF">2023-10-20T23:32:00Z</dcterms:created>
  <dcterms:modified xsi:type="dcterms:W3CDTF">2023-10-20T23:33:00Z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0x010100383B6883C102D74086D10F54979104AB</vt:lpwstr>
  </property>
</Properties>
</file>