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41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1564A4" w:rsidRPr="0050053A" w14:paraId="5C38377B" w14:textId="77777777" w:rsidTr="0031157D">
        <w:tc>
          <w:tcPr>
            <w:tcW w:w="9354" w:type="dxa"/>
            <w:shd w:val="clear" w:color="auto" w:fill="auto"/>
          </w:tcPr>
          <w:p w14:paraId="5C44F357" w14:textId="0008E726" w:rsidR="001564A4" w:rsidRPr="0050053A" w:rsidRDefault="00962ED0" w:rsidP="0031157D">
            <w:pP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 w:rsidRPr="00030FA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Empyema in children: increasing prevalence and new insights into management.</w:t>
            </w:r>
          </w:p>
        </w:tc>
      </w:tr>
      <w:tr w:rsidR="00962ED0" w:rsidRPr="0050053A" w14:paraId="3CD4C513" w14:textId="77777777" w:rsidTr="0031157D">
        <w:tc>
          <w:tcPr>
            <w:tcW w:w="9354" w:type="dxa"/>
            <w:shd w:val="clear" w:color="auto" w:fill="auto"/>
          </w:tcPr>
          <w:p w14:paraId="062E6491" w14:textId="18C8B646" w:rsidR="00962ED0" w:rsidRPr="00962ED0" w:rsidRDefault="00962ED0" w:rsidP="0031157D">
            <w:pP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</w:pP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>Cameron, M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Isles, A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>, Kapur, N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>, Suresh, S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>, Schilling, S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>, Twomey, R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>, McBride, CA,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23</w:t>
            </w:r>
            <w:r w:rsidRPr="00030FA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Robinson, PD</w:t>
            </w:r>
            <w:r w:rsidRPr="00030FA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13</w:t>
            </w:r>
          </w:p>
        </w:tc>
      </w:tr>
      <w:tr w:rsidR="001564A4" w:rsidRPr="0050053A" w14:paraId="385A19D9" w14:textId="77777777" w:rsidTr="0031157D">
        <w:trPr>
          <w:trHeight w:val="136"/>
        </w:trPr>
        <w:tc>
          <w:tcPr>
            <w:tcW w:w="9354" w:type="dxa"/>
            <w:shd w:val="clear" w:color="auto" w:fill="auto"/>
          </w:tcPr>
          <w:p w14:paraId="6117F214" w14:textId="77777777" w:rsidR="00962ED0" w:rsidRPr="00030FA0" w:rsidRDefault="00962ED0" w:rsidP="0031157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30FA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30F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Paediatric Respiratory and Sleep Medicine, Queensland Children’s Hospital, Brisbane, Queensland, Australia</w:t>
            </w:r>
          </w:p>
          <w:p w14:paraId="6EAED948" w14:textId="77777777" w:rsidR="00962ED0" w:rsidRPr="00030FA0" w:rsidRDefault="00962ED0" w:rsidP="0031157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30FA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030F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Paediatric Surgery, Queensland Children’s Hospital, Brisbane, Queensland, Australia</w:t>
            </w:r>
          </w:p>
          <w:p w14:paraId="45ED36BF" w14:textId="670550ED" w:rsidR="001564A4" w:rsidRPr="0050053A" w:rsidRDefault="00962ED0" w:rsidP="0031157D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30FA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030F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Child Health Research Centre, University of Queensland, Brisbane, Queensland</w:t>
            </w:r>
          </w:p>
        </w:tc>
      </w:tr>
      <w:tr w:rsidR="001564A4" w:rsidRPr="0050053A" w14:paraId="6DAF615A" w14:textId="77777777" w:rsidTr="00EE1A95">
        <w:trPr>
          <w:trHeight w:hRule="exact" w:val="10475"/>
        </w:trPr>
        <w:tc>
          <w:tcPr>
            <w:tcW w:w="9354" w:type="dxa"/>
            <w:shd w:val="clear" w:color="auto" w:fill="auto"/>
          </w:tcPr>
          <w:p w14:paraId="3D770CF7" w14:textId="402A0E8B" w:rsidR="001564A4" w:rsidRPr="00962ED0" w:rsidRDefault="001564A4" w:rsidP="0031157D">
            <w:pPr>
              <w:pStyle w:val="Pa12"/>
              <w:rPr>
                <w:rStyle w:val="A4"/>
                <w:color w:val="auto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31157D" w:rsidRPr="00030FA0">
              <w:rPr>
                <w:sz w:val="22"/>
                <w:szCs w:val="22"/>
              </w:rPr>
              <w:t>Prevalence and severity of empyema in children is increasing</w:t>
            </w:r>
            <w:r w:rsidR="0031157D">
              <w:rPr>
                <w:sz w:val="22"/>
                <w:szCs w:val="22"/>
              </w:rPr>
              <w:t>.</w:t>
            </w:r>
            <w:r w:rsidR="0031157D">
              <w:rPr>
                <w:sz w:val="22"/>
                <w:szCs w:val="22"/>
              </w:rPr>
              <w:fldChar w:fldCharType="begin">
                <w:fldData xml:space="preserve">PEVuZE5vdGU+PENpdGU+PEF1dGhvcj5IYWdnaWU8L0F1dGhvcj48WWVhcj4yMDE5PC9ZZWFyPjxS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</w:fldData>
              </w:fldChar>
            </w:r>
            <w:r w:rsidR="0031157D">
              <w:rPr>
                <w:sz w:val="22"/>
                <w:szCs w:val="22"/>
              </w:rPr>
              <w:instrText xml:space="preserve"> ADDIN EN.CITE </w:instrText>
            </w:r>
            <w:r w:rsidR="0031157D">
              <w:rPr>
                <w:sz w:val="22"/>
                <w:szCs w:val="22"/>
              </w:rPr>
              <w:fldChar w:fldCharType="begin">
                <w:fldData xml:space="preserve">PEVuZE5vdGU+PENpdGU+PEF1dGhvcj5IYWdnaWU8L0F1dGhvcj48WWVhcj4yMDE5PC9ZZWFyPjxS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</w:fldData>
              </w:fldChar>
            </w:r>
            <w:r w:rsidR="0031157D">
              <w:rPr>
                <w:sz w:val="22"/>
                <w:szCs w:val="22"/>
              </w:rPr>
              <w:instrText xml:space="preserve"> ADDIN EN.CITE.DATA </w:instrText>
            </w:r>
            <w:r w:rsidR="0031157D">
              <w:rPr>
                <w:sz w:val="22"/>
                <w:szCs w:val="22"/>
              </w:rPr>
            </w:r>
            <w:r w:rsidR="0031157D">
              <w:rPr>
                <w:sz w:val="22"/>
                <w:szCs w:val="22"/>
              </w:rPr>
              <w:fldChar w:fldCharType="end"/>
            </w:r>
            <w:r w:rsidR="0031157D">
              <w:rPr>
                <w:sz w:val="22"/>
                <w:szCs w:val="22"/>
              </w:rPr>
              <w:fldChar w:fldCharType="separate"/>
            </w:r>
            <w:r w:rsidR="0031157D" w:rsidRPr="00041E2E">
              <w:rPr>
                <w:noProof/>
                <w:sz w:val="22"/>
                <w:szCs w:val="22"/>
                <w:vertAlign w:val="superscript"/>
              </w:rPr>
              <w:t>1</w:t>
            </w:r>
            <w:r w:rsidR="0031157D">
              <w:rPr>
                <w:sz w:val="22"/>
                <w:szCs w:val="22"/>
              </w:rPr>
              <w:fldChar w:fldCharType="end"/>
            </w:r>
            <w:r w:rsidR="0031157D">
              <w:rPr>
                <w:sz w:val="22"/>
                <w:szCs w:val="22"/>
              </w:rPr>
              <w:t xml:space="preserve"> </w:t>
            </w:r>
            <w:r w:rsidR="0031157D" w:rsidRPr="00030FA0">
              <w:rPr>
                <w:sz w:val="22"/>
                <w:szCs w:val="22"/>
              </w:rPr>
              <w:t>Interventional options include chest drain with fibrinolytics (CDF) or Video Assisted Thoracoscopic Surgery (VATS), with variations across countries.</w:t>
            </w:r>
            <w:r w:rsidR="0031157D">
              <w:rPr>
                <w:sz w:val="22"/>
                <w:szCs w:val="22"/>
              </w:rPr>
              <w:fldChar w:fldCharType="begin">
                <w:fldData xml:space="preserve">PEVuZE5vdGU+PENpdGU+PEF1dGhvcj5SZWRkZW48L0F1dGhvcj48WWVhcj4yMDE3PC9ZZWFyPjxS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==
</w:fldData>
              </w:fldChar>
            </w:r>
            <w:r w:rsidR="0031157D">
              <w:rPr>
                <w:sz w:val="22"/>
                <w:szCs w:val="22"/>
              </w:rPr>
              <w:instrText xml:space="preserve"> ADDIN EN.CITE </w:instrText>
            </w:r>
            <w:r w:rsidR="0031157D">
              <w:rPr>
                <w:sz w:val="22"/>
                <w:szCs w:val="22"/>
              </w:rPr>
              <w:fldChar w:fldCharType="begin">
                <w:fldData xml:space="preserve">PEVuZE5vdGU+PENpdGU+PEF1dGhvcj5SZWRkZW48L0F1dGhvcj48WWVhcj4yMDE3PC9ZZWFyPjxS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==
</w:fldData>
              </w:fldChar>
            </w:r>
            <w:r w:rsidR="0031157D">
              <w:rPr>
                <w:sz w:val="22"/>
                <w:szCs w:val="22"/>
              </w:rPr>
              <w:instrText xml:space="preserve"> ADDIN EN.CITE.DATA </w:instrText>
            </w:r>
            <w:r w:rsidR="0031157D">
              <w:rPr>
                <w:sz w:val="22"/>
                <w:szCs w:val="22"/>
              </w:rPr>
            </w:r>
            <w:r w:rsidR="0031157D">
              <w:rPr>
                <w:sz w:val="22"/>
                <w:szCs w:val="22"/>
              </w:rPr>
              <w:fldChar w:fldCharType="end"/>
            </w:r>
            <w:r w:rsidR="0031157D">
              <w:rPr>
                <w:sz w:val="22"/>
                <w:szCs w:val="22"/>
              </w:rPr>
              <w:fldChar w:fldCharType="separate"/>
            </w:r>
            <w:r w:rsidR="0031157D" w:rsidRPr="00041E2E">
              <w:rPr>
                <w:noProof/>
                <w:sz w:val="22"/>
                <w:szCs w:val="22"/>
                <w:vertAlign w:val="superscript"/>
              </w:rPr>
              <w:t>2</w:t>
            </w:r>
            <w:r w:rsidR="0031157D">
              <w:rPr>
                <w:sz w:val="22"/>
                <w:szCs w:val="22"/>
              </w:rPr>
              <w:fldChar w:fldCharType="end"/>
            </w:r>
            <w:r w:rsidR="0031157D" w:rsidRPr="00030FA0">
              <w:rPr>
                <w:sz w:val="22"/>
                <w:szCs w:val="22"/>
              </w:rPr>
              <w:t xml:space="preserve"> We audited our local approach at Queensland Children’s Hospital (QCH), a tertiary paediatric institution to describe the local experience. </w:t>
            </w:r>
          </w:p>
          <w:p w14:paraId="24B62CF2" w14:textId="6E8AAD41" w:rsidR="00962ED0" w:rsidRPr="00030FA0" w:rsidRDefault="001564A4" w:rsidP="0031157D">
            <w:pPr>
              <w:pStyle w:val="Pa12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31157D" w:rsidRPr="00030FA0">
              <w:rPr>
                <w:sz w:val="22"/>
                <w:szCs w:val="22"/>
              </w:rPr>
              <w:t xml:space="preserve">A retrospective analysis of </w:t>
            </w:r>
            <w:r w:rsidR="0031157D">
              <w:rPr>
                <w:sz w:val="22"/>
                <w:szCs w:val="22"/>
              </w:rPr>
              <w:t>cases</w:t>
            </w:r>
            <w:r w:rsidR="0031157D" w:rsidRPr="00030FA0">
              <w:rPr>
                <w:sz w:val="22"/>
                <w:szCs w:val="22"/>
              </w:rPr>
              <w:t xml:space="preserve"> (May-July) in years unaffected by COVID (2019, 2022, 2023). Treatment modality was clinically determined. </w:t>
            </w:r>
            <w:r w:rsidR="0031157D">
              <w:rPr>
                <w:sz w:val="22"/>
                <w:szCs w:val="22"/>
              </w:rPr>
              <w:t>E</w:t>
            </w:r>
            <w:r w:rsidR="0031157D" w:rsidRPr="00030FA0">
              <w:rPr>
                <w:sz w:val="22"/>
                <w:szCs w:val="22"/>
              </w:rPr>
              <w:t xml:space="preserve">lectronic medical records </w:t>
            </w:r>
            <w:r w:rsidR="0031157D">
              <w:rPr>
                <w:sz w:val="22"/>
                <w:szCs w:val="22"/>
              </w:rPr>
              <w:t xml:space="preserve">were searched </w:t>
            </w:r>
            <w:r w:rsidR="0031157D" w:rsidRPr="00030FA0">
              <w:rPr>
                <w:sz w:val="22"/>
                <w:szCs w:val="22"/>
              </w:rPr>
              <w:t xml:space="preserve">for variables including prevalence, causative organisms, type of procedure (TOP), length of admission (LOA), LOA post procedure, chest drain duration, and (as a surrogate for associated pain) the duration of acute pain team service involvement (APS). </w:t>
            </w:r>
            <w:r w:rsidR="0031157D">
              <w:rPr>
                <w:sz w:val="22"/>
                <w:szCs w:val="22"/>
              </w:rPr>
              <w:t>Data</w:t>
            </w:r>
            <w:r w:rsidR="0031157D" w:rsidRPr="00030FA0">
              <w:rPr>
                <w:sz w:val="22"/>
                <w:szCs w:val="22"/>
              </w:rPr>
              <w:t xml:space="preserve"> were compared across the specified time periods using Mann Whitney </w:t>
            </w:r>
            <w:r w:rsidR="0031157D" w:rsidRPr="00030FA0">
              <w:rPr>
                <w:i/>
                <w:iCs/>
                <w:sz w:val="22"/>
                <w:szCs w:val="22"/>
              </w:rPr>
              <w:t>U</w:t>
            </w:r>
            <w:r w:rsidR="0031157D" w:rsidRPr="00030FA0">
              <w:rPr>
                <w:sz w:val="22"/>
                <w:szCs w:val="22"/>
              </w:rPr>
              <w:t xml:space="preserve"> and chi-squared analysis</w:t>
            </w:r>
            <w:r w:rsidR="0031157D">
              <w:rPr>
                <w:sz w:val="22"/>
                <w:szCs w:val="22"/>
              </w:rPr>
              <w:t xml:space="preserve"> as appropriate</w:t>
            </w:r>
            <w:r w:rsidR="0031157D" w:rsidRPr="00030FA0">
              <w:rPr>
                <w:sz w:val="22"/>
                <w:szCs w:val="22"/>
              </w:rPr>
              <w:t xml:space="preserve">. </w:t>
            </w:r>
          </w:p>
          <w:p w14:paraId="6B79667B" w14:textId="0BE27C3A" w:rsidR="0031157D" w:rsidRPr="00030FA0" w:rsidRDefault="001564A4" w:rsidP="0031157D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31157D" w:rsidRPr="00030FA0">
              <w:rPr>
                <w:sz w:val="22"/>
                <w:szCs w:val="22"/>
              </w:rPr>
              <w:t xml:space="preserve">62 children were treated: 13 in 2019, 15 in 2022, 34 in 2023. Organisms isolated were </w:t>
            </w:r>
            <w:r w:rsidR="0031157D" w:rsidRPr="00030FA0">
              <w:rPr>
                <w:i/>
                <w:iCs/>
                <w:sz w:val="22"/>
                <w:szCs w:val="22"/>
              </w:rPr>
              <w:t>S.pneumoniae</w:t>
            </w:r>
            <w:r w:rsidR="0031157D" w:rsidRPr="00030FA0">
              <w:rPr>
                <w:sz w:val="22"/>
                <w:szCs w:val="22"/>
              </w:rPr>
              <w:t xml:space="preserve"> (48.3%), GAS (16.1%), </w:t>
            </w:r>
            <w:r w:rsidR="0031157D" w:rsidRPr="00030FA0">
              <w:rPr>
                <w:i/>
                <w:iCs/>
                <w:sz w:val="22"/>
                <w:szCs w:val="22"/>
              </w:rPr>
              <w:t>Mycoplasma spp.</w:t>
            </w:r>
            <w:r w:rsidR="0031157D" w:rsidRPr="00030FA0">
              <w:rPr>
                <w:sz w:val="22"/>
                <w:szCs w:val="22"/>
              </w:rPr>
              <w:t xml:space="preserve"> (4.8%), </w:t>
            </w:r>
            <w:r w:rsidR="0031157D" w:rsidRPr="00030FA0">
              <w:rPr>
                <w:i/>
                <w:iCs/>
                <w:sz w:val="22"/>
                <w:szCs w:val="22"/>
              </w:rPr>
              <w:t>S.aureus</w:t>
            </w:r>
            <w:r w:rsidR="0031157D" w:rsidRPr="00030FA0">
              <w:rPr>
                <w:sz w:val="22"/>
                <w:szCs w:val="22"/>
              </w:rPr>
              <w:t xml:space="preserve"> (3.2%), </w:t>
            </w:r>
            <w:r w:rsidR="0031157D" w:rsidRPr="00030FA0">
              <w:rPr>
                <w:i/>
                <w:iCs/>
                <w:sz w:val="22"/>
                <w:szCs w:val="22"/>
              </w:rPr>
              <w:t>H.influenzae</w:t>
            </w:r>
            <w:r w:rsidR="0031157D" w:rsidRPr="00030FA0">
              <w:rPr>
                <w:sz w:val="22"/>
                <w:szCs w:val="22"/>
              </w:rPr>
              <w:t xml:space="preserve"> (1.6%), and no organism (25.8%). GAS was only detected in 2023 (29.4% of cases in 2023). VATS was the initial intervention in 51.6% vs. 35.4% CDF, with </w:t>
            </w:r>
            <w:r w:rsidR="0031157D">
              <w:rPr>
                <w:sz w:val="22"/>
                <w:szCs w:val="22"/>
              </w:rPr>
              <w:t>13%</w:t>
            </w:r>
            <w:r w:rsidR="0031157D" w:rsidRPr="00030FA0">
              <w:rPr>
                <w:sz w:val="22"/>
                <w:szCs w:val="22"/>
              </w:rPr>
              <w:t xml:space="preserve"> IV antibiotics alone. CDF </w:t>
            </w:r>
            <w:r w:rsidR="0031157D">
              <w:rPr>
                <w:sz w:val="22"/>
                <w:szCs w:val="22"/>
              </w:rPr>
              <w:t>use</w:t>
            </w:r>
            <w:r w:rsidR="0031157D" w:rsidRPr="00030FA0">
              <w:rPr>
                <w:sz w:val="22"/>
                <w:szCs w:val="22"/>
              </w:rPr>
              <w:t xml:space="preserve"> increased in 2023 (46%) vs. other years (18%, p=0.043)</w:t>
            </w:r>
            <w:r w:rsidR="0031157D">
              <w:rPr>
                <w:sz w:val="22"/>
                <w:szCs w:val="22"/>
              </w:rPr>
              <w:t>, with a consistent</w:t>
            </w:r>
            <w:r w:rsidR="0031157D" w:rsidRPr="00030FA0">
              <w:rPr>
                <w:sz w:val="22"/>
                <w:szCs w:val="22"/>
              </w:rPr>
              <w:t xml:space="preserve"> proportion of </w:t>
            </w:r>
            <w:r w:rsidR="0031157D">
              <w:rPr>
                <w:sz w:val="22"/>
                <w:szCs w:val="22"/>
              </w:rPr>
              <w:t>interventions</w:t>
            </w:r>
            <w:r w:rsidR="0031157D" w:rsidRPr="00030FA0">
              <w:rPr>
                <w:sz w:val="22"/>
                <w:szCs w:val="22"/>
              </w:rPr>
              <w:t xml:space="preserve"> performed </w:t>
            </w:r>
            <w:r w:rsidR="0031157D">
              <w:rPr>
                <w:sz w:val="22"/>
                <w:szCs w:val="22"/>
              </w:rPr>
              <w:t>by surgeons</w:t>
            </w:r>
            <w:r w:rsidR="0031157D" w:rsidRPr="00030FA0">
              <w:rPr>
                <w:sz w:val="22"/>
                <w:szCs w:val="22"/>
              </w:rPr>
              <w:t xml:space="preserve"> (p=1.00). LOA was numerically greater for CDF but did not reach statistical significance (p=0.09). CDF was associated with a significant increase in chest drain duration and duration of APS involvement vs</w:t>
            </w:r>
            <w:r w:rsidR="008655B8">
              <w:rPr>
                <w:sz w:val="22"/>
                <w:szCs w:val="22"/>
              </w:rPr>
              <w:t xml:space="preserve">. </w:t>
            </w:r>
            <w:r w:rsidR="0031157D" w:rsidRPr="00030FA0">
              <w:rPr>
                <w:sz w:val="22"/>
                <w:szCs w:val="22"/>
              </w:rPr>
              <w:t xml:space="preserve">VATS (both p&lt;0.01). Only 1 (5.3%) CDF subjects </w:t>
            </w:r>
            <w:r w:rsidR="0031157D">
              <w:rPr>
                <w:sz w:val="22"/>
                <w:szCs w:val="22"/>
              </w:rPr>
              <w:t>had</w:t>
            </w:r>
            <w:r w:rsidR="0031157D" w:rsidRPr="00030FA0">
              <w:rPr>
                <w:sz w:val="22"/>
                <w:szCs w:val="22"/>
              </w:rPr>
              <w:t xml:space="preserve"> VATS as a 2</w:t>
            </w:r>
            <w:r w:rsidR="0031157D" w:rsidRPr="00030FA0">
              <w:rPr>
                <w:sz w:val="22"/>
                <w:szCs w:val="22"/>
                <w:vertAlign w:val="superscript"/>
              </w:rPr>
              <w:t>nd</w:t>
            </w:r>
            <w:r w:rsidR="0031157D" w:rsidRPr="00030FA0">
              <w:rPr>
                <w:sz w:val="22"/>
                <w:szCs w:val="22"/>
              </w:rPr>
              <w:t xml:space="preserve"> intervention procedure.</w:t>
            </w:r>
          </w:p>
          <w:tbl>
            <w:tblPr>
              <w:tblStyle w:val="TableGrid"/>
              <w:tblW w:w="81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3"/>
              <w:gridCol w:w="1198"/>
              <w:gridCol w:w="1191"/>
              <w:gridCol w:w="1018"/>
            </w:tblGrid>
            <w:tr w:rsidR="0031157D" w:rsidRPr="00B622E2" w14:paraId="766C8608" w14:textId="77777777" w:rsidTr="00797340">
              <w:trPr>
                <w:jc w:val="center"/>
              </w:trPr>
              <w:tc>
                <w:tcPr>
                  <w:tcW w:w="4773" w:type="dxa"/>
                </w:tcPr>
                <w:p w14:paraId="2B5D5CF8" w14:textId="77777777" w:rsidR="0031157D" w:rsidRPr="00B622E2" w:rsidRDefault="0031157D" w:rsidP="0031157D">
                  <w:pPr>
                    <w:framePr w:hSpace="180" w:wrap="around" w:vAnchor="page" w:hAnchor="margin" w:y="144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98" w:type="dxa"/>
                </w:tcPr>
                <w:p w14:paraId="37C4594E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VATS</w:t>
                  </w:r>
                </w:p>
              </w:tc>
              <w:tc>
                <w:tcPr>
                  <w:tcW w:w="1191" w:type="dxa"/>
                </w:tcPr>
                <w:p w14:paraId="02A2DC8E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CDF</w:t>
                  </w:r>
                </w:p>
              </w:tc>
              <w:tc>
                <w:tcPr>
                  <w:tcW w:w="1018" w:type="dxa"/>
                </w:tcPr>
                <w:p w14:paraId="3CF3F78C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p value</w:t>
                  </w:r>
                </w:p>
              </w:tc>
            </w:tr>
            <w:tr w:rsidR="0031157D" w:rsidRPr="00B622E2" w14:paraId="4F690112" w14:textId="77777777" w:rsidTr="00797340">
              <w:trPr>
                <w:jc w:val="center"/>
              </w:trPr>
              <w:tc>
                <w:tcPr>
                  <w:tcW w:w="4773" w:type="dxa"/>
                </w:tcPr>
                <w:p w14:paraId="3C5EDF63" w14:textId="77777777" w:rsidR="0031157D" w:rsidRPr="00B622E2" w:rsidRDefault="0031157D" w:rsidP="0031157D">
                  <w:pPr>
                    <w:framePr w:hSpace="180" w:wrap="around" w:vAnchor="page" w:hAnchor="margin" w:y="144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1198" w:type="dxa"/>
                </w:tcPr>
                <w:p w14:paraId="1EACA3D2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32 (51.6%)</w:t>
                  </w:r>
                </w:p>
              </w:tc>
              <w:tc>
                <w:tcPr>
                  <w:tcW w:w="1191" w:type="dxa"/>
                </w:tcPr>
                <w:p w14:paraId="6015745F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22 (35.4%)</w:t>
                  </w:r>
                </w:p>
              </w:tc>
              <w:tc>
                <w:tcPr>
                  <w:tcW w:w="1018" w:type="dxa"/>
                </w:tcPr>
                <w:p w14:paraId="321E4C7C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1157D" w:rsidRPr="00B622E2" w14:paraId="028F806B" w14:textId="77777777" w:rsidTr="00797340">
              <w:trPr>
                <w:jc w:val="center"/>
              </w:trPr>
              <w:tc>
                <w:tcPr>
                  <w:tcW w:w="4773" w:type="dxa"/>
                </w:tcPr>
                <w:p w14:paraId="0A5AE915" w14:textId="77777777" w:rsidR="0031157D" w:rsidRPr="00B622E2" w:rsidRDefault="0031157D" w:rsidP="0031157D">
                  <w:pPr>
                    <w:framePr w:hSpace="180" w:wrap="around" w:vAnchor="page" w:hAnchor="margin" w:y="144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Duration of admission</w:t>
                  </w:r>
                </w:p>
              </w:tc>
              <w:tc>
                <w:tcPr>
                  <w:tcW w:w="1198" w:type="dxa"/>
                </w:tcPr>
                <w:p w14:paraId="5CAC806D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10 (6-27)</w:t>
                  </w:r>
                </w:p>
              </w:tc>
              <w:tc>
                <w:tcPr>
                  <w:tcW w:w="1191" w:type="dxa"/>
                </w:tcPr>
                <w:p w14:paraId="60C7BF78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12 (6-47)</w:t>
                  </w:r>
                </w:p>
              </w:tc>
              <w:tc>
                <w:tcPr>
                  <w:tcW w:w="1018" w:type="dxa"/>
                </w:tcPr>
                <w:p w14:paraId="6A0951AE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0.09</w:t>
                  </w:r>
                </w:p>
              </w:tc>
            </w:tr>
            <w:tr w:rsidR="0031157D" w:rsidRPr="00B622E2" w14:paraId="0F00AB93" w14:textId="77777777" w:rsidTr="00797340">
              <w:trPr>
                <w:jc w:val="center"/>
              </w:trPr>
              <w:tc>
                <w:tcPr>
                  <w:tcW w:w="4773" w:type="dxa"/>
                </w:tcPr>
                <w:p w14:paraId="563E342E" w14:textId="77777777" w:rsidR="0031157D" w:rsidRPr="00B622E2" w:rsidRDefault="0031157D" w:rsidP="0031157D">
                  <w:pPr>
                    <w:framePr w:hSpace="180" w:wrap="around" w:vAnchor="page" w:hAnchor="margin" w:y="144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Day of initial intervention</w:t>
                  </w:r>
                </w:p>
              </w:tc>
              <w:tc>
                <w:tcPr>
                  <w:tcW w:w="1198" w:type="dxa"/>
                </w:tcPr>
                <w:p w14:paraId="2B64A21B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 (0-8)</w:t>
                  </w:r>
                </w:p>
              </w:tc>
              <w:tc>
                <w:tcPr>
                  <w:tcW w:w="1191" w:type="dxa"/>
                </w:tcPr>
                <w:p w14:paraId="4EABA4AC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 (0-9)</w:t>
                  </w:r>
                </w:p>
              </w:tc>
              <w:tc>
                <w:tcPr>
                  <w:tcW w:w="1018" w:type="dxa"/>
                </w:tcPr>
                <w:p w14:paraId="29D94389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0.038</w:t>
                  </w:r>
                </w:p>
              </w:tc>
            </w:tr>
            <w:tr w:rsidR="0031157D" w:rsidRPr="00B622E2" w14:paraId="2925B386" w14:textId="77777777" w:rsidTr="00797340">
              <w:trPr>
                <w:jc w:val="center"/>
              </w:trPr>
              <w:tc>
                <w:tcPr>
                  <w:tcW w:w="4773" w:type="dxa"/>
                </w:tcPr>
                <w:p w14:paraId="27C2E0D9" w14:textId="77777777" w:rsidR="0031157D" w:rsidRPr="00B622E2" w:rsidRDefault="0031157D" w:rsidP="0031157D">
                  <w:pPr>
                    <w:framePr w:hSpace="180" w:wrap="around" w:vAnchor="page" w:hAnchor="margin" w:y="144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Duration from intervention to discharge</w:t>
                  </w:r>
                </w:p>
              </w:tc>
              <w:tc>
                <w:tcPr>
                  <w:tcW w:w="1198" w:type="dxa"/>
                </w:tcPr>
                <w:p w14:paraId="7A38B261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8 (5-26)</w:t>
                  </w:r>
                </w:p>
              </w:tc>
              <w:tc>
                <w:tcPr>
                  <w:tcW w:w="1191" w:type="dxa"/>
                </w:tcPr>
                <w:p w14:paraId="6C20335D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12 (6-47)</w:t>
                  </w:r>
                </w:p>
              </w:tc>
              <w:tc>
                <w:tcPr>
                  <w:tcW w:w="1018" w:type="dxa"/>
                </w:tcPr>
                <w:p w14:paraId="2A5F6801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0.0039</w:t>
                  </w:r>
                </w:p>
              </w:tc>
            </w:tr>
            <w:tr w:rsidR="0031157D" w:rsidRPr="00B622E2" w14:paraId="6D745AF7" w14:textId="77777777" w:rsidTr="00797340">
              <w:trPr>
                <w:jc w:val="center"/>
              </w:trPr>
              <w:tc>
                <w:tcPr>
                  <w:tcW w:w="4773" w:type="dxa"/>
                </w:tcPr>
                <w:p w14:paraId="2664E842" w14:textId="77777777" w:rsidR="0031157D" w:rsidRPr="00B622E2" w:rsidRDefault="0031157D" w:rsidP="0031157D">
                  <w:pPr>
                    <w:framePr w:hSpace="180" w:wrap="around" w:vAnchor="page" w:hAnchor="margin" w:y="144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Duration of drain</w:t>
                  </w:r>
                </w:p>
              </w:tc>
              <w:tc>
                <w:tcPr>
                  <w:tcW w:w="1198" w:type="dxa"/>
                </w:tcPr>
                <w:p w14:paraId="082EF7E2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3 (2-19)</w:t>
                  </w:r>
                </w:p>
              </w:tc>
              <w:tc>
                <w:tcPr>
                  <w:tcW w:w="1191" w:type="dxa"/>
                </w:tcPr>
                <w:p w14:paraId="0CE84CA8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8 (4-38)</w:t>
                  </w:r>
                </w:p>
              </w:tc>
              <w:tc>
                <w:tcPr>
                  <w:tcW w:w="1018" w:type="dxa"/>
                </w:tcPr>
                <w:p w14:paraId="46D17B4F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&lt;0.0001</w:t>
                  </w:r>
                </w:p>
              </w:tc>
            </w:tr>
            <w:tr w:rsidR="0031157D" w:rsidRPr="00B622E2" w14:paraId="64FC1EAC" w14:textId="77777777" w:rsidTr="00797340">
              <w:trPr>
                <w:jc w:val="center"/>
              </w:trPr>
              <w:tc>
                <w:tcPr>
                  <w:tcW w:w="4773" w:type="dxa"/>
                </w:tcPr>
                <w:p w14:paraId="23D2AAB2" w14:textId="77777777" w:rsidR="0031157D" w:rsidRPr="00B622E2" w:rsidRDefault="0031157D" w:rsidP="0031157D">
                  <w:pPr>
                    <w:framePr w:hSpace="180" w:wrap="around" w:vAnchor="page" w:hAnchor="margin" w:y="144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Duration of APS</w:t>
                  </w:r>
                </w:p>
              </w:tc>
              <w:tc>
                <w:tcPr>
                  <w:tcW w:w="1198" w:type="dxa"/>
                </w:tcPr>
                <w:p w14:paraId="63EB36F8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4 (0-12)</w:t>
                  </w:r>
                </w:p>
              </w:tc>
              <w:tc>
                <w:tcPr>
                  <w:tcW w:w="1191" w:type="dxa"/>
                </w:tcPr>
                <w:p w14:paraId="51A8ACCC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8 (0-35)</w:t>
                  </w:r>
                </w:p>
              </w:tc>
              <w:tc>
                <w:tcPr>
                  <w:tcW w:w="1018" w:type="dxa"/>
                </w:tcPr>
                <w:p w14:paraId="4EF9ECBE" w14:textId="77777777" w:rsidR="0031157D" w:rsidRPr="00B622E2" w:rsidRDefault="0031157D" w:rsidP="0031157D">
                  <w:pPr>
                    <w:framePr w:hSpace="180" w:wrap="around" w:vAnchor="page" w:hAnchor="margin" w:y="144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22E2">
                    <w:rPr>
                      <w:rFonts w:ascii="Arial" w:hAnsi="Arial" w:cs="Arial"/>
                      <w:sz w:val="22"/>
                      <w:szCs w:val="22"/>
                    </w:rPr>
                    <w:t>0.0117</w:t>
                  </w:r>
                </w:p>
              </w:tc>
            </w:tr>
          </w:tbl>
          <w:p w14:paraId="14FD76FC" w14:textId="37318AAC" w:rsidR="0031157D" w:rsidRDefault="0031157D" w:rsidP="0031157D">
            <w:pPr>
              <w:pStyle w:val="Pa12"/>
              <w:rPr>
                <w:rStyle w:val="A4"/>
                <w:b/>
                <w:bCs/>
              </w:rPr>
            </w:pPr>
          </w:p>
          <w:p w14:paraId="652F7BE1" w14:textId="2D402C45" w:rsidR="001564A4" w:rsidRDefault="001564A4" w:rsidP="0031157D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31157D">
              <w:rPr>
                <w:rStyle w:val="A4"/>
              </w:rPr>
              <w:t xml:space="preserve">Empyema </w:t>
            </w:r>
            <w:r w:rsidR="0031157D" w:rsidRPr="00030FA0">
              <w:rPr>
                <w:rStyle w:val="A4"/>
              </w:rPr>
              <w:t xml:space="preserve">rates </w:t>
            </w:r>
            <w:r w:rsidR="0031157D">
              <w:rPr>
                <w:rStyle w:val="A4"/>
              </w:rPr>
              <w:t>increased</w:t>
            </w:r>
            <w:r w:rsidR="0031157D" w:rsidRPr="00030FA0">
              <w:rPr>
                <w:rStyle w:val="A4"/>
              </w:rPr>
              <w:t xml:space="preserve"> </w:t>
            </w:r>
            <w:r w:rsidR="0031157D">
              <w:rPr>
                <w:rStyle w:val="A4"/>
              </w:rPr>
              <w:t xml:space="preserve">in </w:t>
            </w:r>
            <w:r w:rsidR="0031157D" w:rsidRPr="00030FA0">
              <w:rPr>
                <w:rStyle w:val="A4"/>
              </w:rPr>
              <w:t xml:space="preserve">2023 with increased rates of GAS. </w:t>
            </w:r>
            <w:r w:rsidR="0031157D">
              <w:rPr>
                <w:rStyle w:val="A4"/>
              </w:rPr>
              <w:t>R</w:t>
            </w:r>
            <w:r w:rsidR="0031157D" w:rsidRPr="00030FA0">
              <w:rPr>
                <w:rStyle w:val="A4"/>
              </w:rPr>
              <w:t xml:space="preserve">ecent shift in practice </w:t>
            </w:r>
            <w:r w:rsidR="0031157D">
              <w:rPr>
                <w:rStyle w:val="A4"/>
              </w:rPr>
              <w:t>led to</w:t>
            </w:r>
            <w:r w:rsidR="0031157D" w:rsidRPr="00030FA0">
              <w:rPr>
                <w:rStyle w:val="A4"/>
              </w:rPr>
              <w:t xml:space="preserve"> more CDF as initial intervention. CDF was associated with greater chest drain duration and pain service involvement </w:t>
            </w:r>
            <w:r w:rsidR="0031157D">
              <w:rPr>
                <w:rStyle w:val="A4"/>
              </w:rPr>
              <w:t>vs.</w:t>
            </w:r>
            <w:r w:rsidR="008655B8">
              <w:rPr>
                <w:rStyle w:val="A4"/>
              </w:rPr>
              <w:t xml:space="preserve"> </w:t>
            </w:r>
            <w:r w:rsidR="0031157D" w:rsidRPr="00030FA0">
              <w:rPr>
                <w:rStyle w:val="A4"/>
              </w:rPr>
              <w:t xml:space="preserve">VATS. Future work will </w:t>
            </w:r>
            <w:r w:rsidR="0031157D">
              <w:rPr>
                <w:rStyle w:val="A4"/>
              </w:rPr>
              <w:t xml:space="preserve">confirm these patterns in an expanded dataset and </w:t>
            </w:r>
            <w:r w:rsidR="0031157D" w:rsidRPr="00030FA0">
              <w:rPr>
                <w:rStyle w:val="A4"/>
              </w:rPr>
              <w:t>explore factors underlying this change in practice</w:t>
            </w:r>
            <w:r w:rsidR="0031157D">
              <w:rPr>
                <w:rStyle w:val="A4"/>
              </w:rPr>
              <w:t>.</w:t>
            </w:r>
          </w:p>
          <w:p w14:paraId="556557AF" w14:textId="7E76EEE8" w:rsidR="00962ED0" w:rsidRDefault="00962ED0" w:rsidP="0031157D">
            <w:pPr>
              <w:pStyle w:val="Default"/>
              <w:rPr>
                <w:sz w:val="22"/>
                <w:szCs w:val="22"/>
              </w:rPr>
            </w:pPr>
            <w:r w:rsidRPr="00962ED0">
              <w:rPr>
                <w:b/>
                <w:bCs/>
                <w:sz w:val="22"/>
                <w:szCs w:val="22"/>
              </w:rPr>
              <w:t>Grant Support:</w:t>
            </w:r>
            <w:r w:rsidRPr="00962ED0">
              <w:rPr>
                <w:sz w:val="22"/>
                <w:szCs w:val="22"/>
              </w:rPr>
              <w:t xml:space="preserve"> None</w:t>
            </w:r>
          </w:p>
          <w:p w14:paraId="33B830F8" w14:textId="7683FD91" w:rsidR="00EE1A95" w:rsidRDefault="00EE1A95" w:rsidP="0031157D">
            <w:pPr>
              <w:pStyle w:val="Default"/>
              <w:rPr>
                <w:sz w:val="22"/>
                <w:szCs w:val="22"/>
              </w:rPr>
            </w:pPr>
            <w:r w:rsidRPr="00EE1A95">
              <w:rPr>
                <w:b/>
                <w:bCs/>
                <w:sz w:val="22"/>
                <w:szCs w:val="22"/>
              </w:rPr>
              <w:t>Key Words:</w:t>
            </w:r>
            <w:r>
              <w:rPr>
                <w:sz w:val="22"/>
                <w:szCs w:val="22"/>
              </w:rPr>
              <w:t xml:space="preserve"> Empyema, paediatric, management, prevalence.</w:t>
            </w:r>
          </w:p>
          <w:p w14:paraId="7FFAA434" w14:textId="081C5F04" w:rsidR="00EE1A95" w:rsidRPr="00EE1A95" w:rsidRDefault="00EE1A95" w:rsidP="0031157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E1A95">
              <w:rPr>
                <w:b/>
                <w:bCs/>
                <w:sz w:val="22"/>
                <w:szCs w:val="22"/>
              </w:rPr>
              <w:t>Word Count: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E1A95">
              <w:rPr>
                <w:sz w:val="22"/>
                <w:szCs w:val="22"/>
              </w:rPr>
              <w:t xml:space="preserve">298 </w:t>
            </w:r>
          </w:p>
          <w:p w14:paraId="4CF23CEE" w14:textId="77777777" w:rsidR="0031157D" w:rsidRPr="0031157D" w:rsidRDefault="0031157D" w:rsidP="0031157D">
            <w:pPr>
              <w:rPr>
                <w:sz w:val="18"/>
                <w:szCs w:val="18"/>
              </w:rPr>
            </w:pPr>
          </w:p>
          <w:p w14:paraId="04184D75" w14:textId="77777777" w:rsidR="0031157D" w:rsidRPr="0031157D" w:rsidRDefault="0031157D" w:rsidP="0031157D">
            <w:pPr>
              <w:pStyle w:val="EndNoteBibliography"/>
              <w:rPr>
                <w:rFonts w:ascii="Arial" w:hAnsi="Arial" w:cs="Arial"/>
                <w:noProof/>
                <w:sz w:val="18"/>
                <w:szCs w:val="18"/>
              </w:rPr>
            </w:pPr>
            <w:r w:rsidRPr="0031157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157D">
              <w:rPr>
                <w:rFonts w:ascii="Arial" w:hAnsi="Arial" w:cs="Arial"/>
                <w:sz w:val="18"/>
                <w:szCs w:val="18"/>
              </w:rPr>
              <w:instrText xml:space="preserve"> ADDIN EN.REFLIST </w:instrText>
            </w:r>
            <w:r w:rsidRPr="003115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1157D">
              <w:rPr>
                <w:rFonts w:ascii="Arial" w:hAnsi="Arial" w:cs="Arial"/>
                <w:noProof/>
                <w:sz w:val="18"/>
                <w:szCs w:val="18"/>
              </w:rPr>
              <w:t xml:space="preserve">[1] Haggie S, et al. </w:t>
            </w:r>
            <w:r w:rsidRPr="0031157D">
              <w:rPr>
                <w:rFonts w:ascii="Arial" w:hAnsi="Arial" w:cs="Arial"/>
                <w:i/>
                <w:noProof/>
                <w:sz w:val="18"/>
                <w:szCs w:val="18"/>
              </w:rPr>
              <w:t>Pediatr Infect Dis J</w:t>
            </w:r>
            <w:r w:rsidRPr="0031157D">
              <w:rPr>
                <w:rFonts w:ascii="Arial" w:hAnsi="Arial" w:cs="Arial"/>
                <w:noProof/>
                <w:sz w:val="18"/>
                <w:szCs w:val="18"/>
              </w:rPr>
              <w:t>. 2019;38(12):e320-e5.</w:t>
            </w:r>
          </w:p>
          <w:p w14:paraId="3360308F" w14:textId="77777777" w:rsidR="0031157D" w:rsidRPr="0031157D" w:rsidRDefault="0031157D" w:rsidP="0031157D">
            <w:pPr>
              <w:pStyle w:val="EndNoteBibliography"/>
              <w:rPr>
                <w:rFonts w:ascii="Arial" w:hAnsi="Arial" w:cs="Arial"/>
                <w:noProof/>
                <w:sz w:val="18"/>
                <w:szCs w:val="18"/>
              </w:rPr>
            </w:pPr>
            <w:r w:rsidRPr="0031157D">
              <w:rPr>
                <w:rFonts w:ascii="Arial" w:hAnsi="Arial" w:cs="Arial"/>
                <w:noProof/>
                <w:sz w:val="18"/>
                <w:szCs w:val="18"/>
              </w:rPr>
              <w:t xml:space="preserve">[2] Redden MD, et al. </w:t>
            </w:r>
            <w:r w:rsidRPr="0031157D">
              <w:rPr>
                <w:rFonts w:ascii="Arial" w:hAnsi="Arial" w:cs="Arial"/>
                <w:i/>
                <w:noProof/>
                <w:sz w:val="18"/>
                <w:szCs w:val="18"/>
              </w:rPr>
              <w:t>Cochrane Database Syst Rev</w:t>
            </w:r>
            <w:r w:rsidRPr="0031157D">
              <w:rPr>
                <w:rFonts w:ascii="Arial" w:hAnsi="Arial" w:cs="Arial"/>
                <w:noProof/>
                <w:sz w:val="18"/>
                <w:szCs w:val="18"/>
              </w:rPr>
              <w:t>. 2017;3(3):Cd010651.</w:t>
            </w:r>
          </w:p>
          <w:p w14:paraId="69B04572" w14:textId="64FEE9D8" w:rsidR="001564A4" w:rsidRPr="0050053A" w:rsidRDefault="0031157D" w:rsidP="0031157D">
            <w:pPr>
              <w:pStyle w:val="Default"/>
              <w:rPr>
                <w:sz w:val="22"/>
                <w:szCs w:val="22"/>
              </w:rPr>
            </w:pPr>
            <w:r w:rsidRPr="0031157D">
              <w:rPr>
                <w:sz w:val="18"/>
                <w:szCs w:val="18"/>
              </w:rPr>
              <w:fldChar w:fldCharType="end"/>
            </w:r>
          </w:p>
          <w:p w14:paraId="2A651708" w14:textId="77777777" w:rsidR="001564A4" w:rsidRPr="0050053A" w:rsidRDefault="001564A4" w:rsidP="0031157D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50053A" w:rsidRDefault="001564A4" w:rsidP="0031157D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3E8B4283" w14:textId="02A1A854" w:rsidR="001564A4" w:rsidRPr="0050053A" w:rsidRDefault="001564A4" w:rsidP="0031157D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7F8381F0" w14:textId="37860D66" w:rsidR="001564A4" w:rsidRDefault="001564A4" w:rsidP="0031157D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31157D">
            <w:pPr>
              <w:pStyle w:val="Default"/>
            </w:pPr>
          </w:p>
          <w:p w14:paraId="34BF0A0F" w14:textId="77777777" w:rsidR="001564A4" w:rsidRPr="003E35F0" w:rsidRDefault="001564A4" w:rsidP="0031157D">
            <w:pPr>
              <w:pStyle w:val="Default"/>
            </w:pPr>
          </w:p>
          <w:p w14:paraId="1FF1A88F" w14:textId="77777777" w:rsidR="001564A4" w:rsidRPr="0050053A" w:rsidRDefault="001564A4" w:rsidP="0031157D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31157D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31157D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31157D"/>
    <w:rsid w:val="0051574E"/>
    <w:rsid w:val="007D5A34"/>
    <w:rsid w:val="008655B8"/>
    <w:rsid w:val="008803FA"/>
    <w:rsid w:val="00962ED0"/>
    <w:rsid w:val="00B12E32"/>
    <w:rsid w:val="00E0700F"/>
    <w:rsid w:val="00E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1564A4"/>
    <w:pPr>
      <w:spacing w:line="241" w:lineRule="atLeast"/>
    </w:pPr>
    <w:rPr>
      <w:color w:val="auto"/>
    </w:rPr>
  </w:style>
  <w:style w:type="character" w:customStyle="1" w:styleId="Pa12Char">
    <w:name w:val="Pa12 Char"/>
    <w:basedOn w:val="DefaultParagraphFont"/>
    <w:link w:val="Pa12"/>
    <w:uiPriority w:val="99"/>
    <w:rsid w:val="00962ED0"/>
    <w:rPr>
      <w:rFonts w:ascii="Arial" w:eastAsia="Times New Roman" w:hAnsi="Arial" w:cs="Arial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962ED0"/>
    <w:rPr>
      <w:rFonts w:asciiTheme="minorHAnsi" w:hAnsiTheme="minorHAnsi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962ED0"/>
    <w:rPr>
      <w:rFonts w:ascii="Calibri" w:hAnsi="Calibri" w:cs="Calibri"/>
      <w:sz w:val="22"/>
      <w:lang w:val="en-US" w:eastAsia="en-NZ"/>
    </w:rPr>
  </w:style>
  <w:style w:type="character" w:customStyle="1" w:styleId="EndNoteBibliographyChar">
    <w:name w:val="EndNote Bibliography Char"/>
    <w:basedOn w:val="Pa12Char"/>
    <w:link w:val="EndNoteBibliography"/>
    <w:rsid w:val="00962ED0"/>
    <w:rPr>
      <w:rFonts w:ascii="Calibri" w:eastAsia="Times New Roman" w:hAnsi="Calibri" w:cs="Calibri"/>
      <w:sz w:val="22"/>
      <w:szCs w:val="24"/>
      <w:lang w:val="en-US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</Words>
  <Characters>2780</Characters>
  <Application>Microsoft Office Word</Application>
  <DocSecurity>0</DocSecurity>
  <Lines>139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Microsoft Office User</cp:lastModifiedBy>
  <cp:revision>4</cp:revision>
  <dcterms:created xsi:type="dcterms:W3CDTF">2023-10-18T06:09:00Z</dcterms:created>
  <dcterms:modified xsi:type="dcterms:W3CDTF">2023-10-18T06:19:00Z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