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7004" w14:textId="3E0C127A" w:rsidR="00782D29" w:rsidRPr="006C6AB8" w:rsidRDefault="008825EB" w:rsidP="008427FA">
      <w:pPr>
        <w:rPr>
          <w:rFonts w:ascii="Arial" w:hAnsi="Arial" w:cs="Arial"/>
          <w:b/>
          <w:bCs/>
        </w:rPr>
      </w:pPr>
      <w:r w:rsidRPr="006C6AB8">
        <w:rPr>
          <w:rFonts w:ascii="Arial" w:hAnsi="Arial" w:cs="Arial"/>
          <w:b/>
          <w:bCs/>
        </w:rPr>
        <w:t xml:space="preserve">A novel </w:t>
      </w:r>
      <w:r w:rsidR="00982F41" w:rsidRPr="006C6AB8">
        <w:rPr>
          <w:rFonts w:ascii="Arial" w:hAnsi="Arial" w:cs="Arial"/>
          <w:b/>
          <w:bCs/>
        </w:rPr>
        <w:t xml:space="preserve">topical </w:t>
      </w:r>
      <w:r w:rsidRPr="006C6AB8">
        <w:rPr>
          <w:rFonts w:ascii="Arial" w:hAnsi="Arial" w:cs="Arial"/>
          <w:b/>
          <w:bCs/>
        </w:rPr>
        <w:t xml:space="preserve">formulation of </w:t>
      </w:r>
      <w:r w:rsidR="00782D29" w:rsidRPr="006C6AB8">
        <w:rPr>
          <w:rFonts w:ascii="Arial" w:hAnsi="Arial" w:cs="Arial"/>
          <w:b/>
          <w:bCs/>
        </w:rPr>
        <w:t xml:space="preserve">fenofibrate </w:t>
      </w:r>
      <w:r w:rsidR="000C3E3F" w:rsidRPr="006C6AB8">
        <w:rPr>
          <w:rFonts w:ascii="Arial" w:hAnsi="Arial" w:cs="Arial"/>
          <w:b/>
          <w:bCs/>
        </w:rPr>
        <w:t xml:space="preserve">restores </w:t>
      </w:r>
      <w:r w:rsidR="00782D29" w:rsidRPr="006C6AB8">
        <w:rPr>
          <w:rFonts w:ascii="Arial" w:hAnsi="Arial" w:cs="Arial"/>
          <w:b/>
          <w:bCs/>
        </w:rPr>
        <w:t>wound healing</w:t>
      </w:r>
      <w:r w:rsidR="00BA234B" w:rsidRPr="006C6AB8">
        <w:rPr>
          <w:rFonts w:ascii="Arial" w:hAnsi="Arial" w:cs="Arial"/>
          <w:b/>
          <w:bCs/>
        </w:rPr>
        <w:t xml:space="preserve"> in </w:t>
      </w:r>
      <w:r w:rsidR="000C3E3F" w:rsidRPr="006C6AB8">
        <w:rPr>
          <w:rFonts w:ascii="Arial" w:hAnsi="Arial" w:cs="Arial"/>
          <w:b/>
          <w:bCs/>
        </w:rPr>
        <w:t xml:space="preserve">diabetic </w:t>
      </w:r>
      <w:r w:rsidR="00BA234B" w:rsidRPr="006C6AB8">
        <w:rPr>
          <w:rFonts w:ascii="Arial" w:hAnsi="Arial" w:cs="Arial"/>
          <w:b/>
          <w:bCs/>
        </w:rPr>
        <w:t>mice</w:t>
      </w:r>
      <w:r w:rsidR="00782D29" w:rsidRPr="006C6AB8">
        <w:rPr>
          <w:rFonts w:ascii="Arial" w:hAnsi="Arial" w:cs="Arial"/>
          <w:b/>
          <w:bCs/>
        </w:rPr>
        <w:t>.</w:t>
      </w:r>
    </w:p>
    <w:p w14:paraId="006CAD80" w14:textId="77777777" w:rsidR="00782D29" w:rsidRDefault="00782D29" w:rsidP="008427FA">
      <w:pPr>
        <w:rPr>
          <w:rFonts w:ascii="Arial" w:hAnsi="Arial" w:cs="Arial"/>
        </w:rPr>
      </w:pPr>
    </w:p>
    <w:p w14:paraId="05616EEE" w14:textId="40D2075A" w:rsidR="00782D29" w:rsidRDefault="00782D29" w:rsidP="008427FA">
      <w:pPr>
        <w:rPr>
          <w:rFonts w:ascii="Arial" w:hAnsi="Arial" w:cs="Arial"/>
        </w:rPr>
      </w:pPr>
      <w:r>
        <w:rPr>
          <w:rFonts w:ascii="Arial" w:hAnsi="Arial" w:cs="Arial"/>
        </w:rPr>
        <w:t>Aims</w:t>
      </w:r>
      <w:r w:rsidR="00BA234B">
        <w:rPr>
          <w:rFonts w:ascii="Arial" w:hAnsi="Arial" w:cs="Arial"/>
        </w:rPr>
        <w:t>:</w:t>
      </w:r>
    </w:p>
    <w:p w14:paraId="06EB5494" w14:textId="6702DC5E" w:rsidR="00BA234B" w:rsidRDefault="00BA234B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DF318B">
        <w:rPr>
          <w:rFonts w:ascii="Arial" w:hAnsi="Arial" w:cs="Arial"/>
        </w:rPr>
        <w:t>investigate the</w:t>
      </w:r>
      <w:r>
        <w:rPr>
          <w:rFonts w:ascii="Arial" w:hAnsi="Arial" w:cs="Arial"/>
        </w:rPr>
        <w:t xml:space="preserve"> </w:t>
      </w:r>
      <w:r w:rsidR="00DF318B">
        <w:rPr>
          <w:rFonts w:ascii="Arial" w:hAnsi="Arial" w:cs="Arial"/>
        </w:rPr>
        <w:t>potential for</w:t>
      </w:r>
      <w:r w:rsidR="000C3E3F">
        <w:rPr>
          <w:rFonts w:ascii="Arial" w:hAnsi="Arial" w:cs="Arial"/>
        </w:rPr>
        <w:t xml:space="preserve"> </w:t>
      </w:r>
      <w:r w:rsidR="00DF318B">
        <w:rPr>
          <w:rFonts w:ascii="Arial" w:hAnsi="Arial" w:cs="Arial"/>
        </w:rPr>
        <w:t xml:space="preserve">TGA-approved, fenofibrate and mirabegron, to be </w:t>
      </w:r>
      <w:r w:rsidR="000C3E3F">
        <w:rPr>
          <w:rFonts w:ascii="Arial" w:hAnsi="Arial" w:cs="Arial"/>
        </w:rPr>
        <w:t>topically</w:t>
      </w:r>
      <w:r w:rsidR="004276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repurposed</w:t>
      </w:r>
      <w:r w:rsidR="00DF318B">
        <w:rPr>
          <w:rFonts w:ascii="Arial" w:hAnsi="Arial" w:cs="Arial"/>
        </w:rPr>
        <w:t xml:space="preserve"> in diabetic foot ulcers.</w:t>
      </w:r>
    </w:p>
    <w:p w14:paraId="0CC2CF86" w14:textId="77777777" w:rsidR="00BA234B" w:rsidRDefault="00BA234B" w:rsidP="008427FA">
      <w:pPr>
        <w:rPr>
          <w:rFonts w:ascii="Arial" w:hAnsi="Arial" w:cs="Arial"/>
        </w:rPr>
      </w:pPr>
    </w:p>
    <w:p w14:paraId="61AAE25A" w14:textId="12CD5B40" w:rsidR="00782D29" w:rsidRDefault="00782D29" w:rsidP="008427FA">
      <w:pPr>
        <w:rPr>
          <w:rFonts w:ascii="Arial" w:hAnsi="Arial" w:cs="Arial"/>
        </w:rPr>
      </w:pPr>
      <w:r>
        <w:rPr>
          <w:rFonts w:ascii="Arial" w:hAnsi="Arial" w:cs="Arial"/>
        </w:rPr>
        <w:t>Methods:</w:t>
      </w:r>
    </w:p>
    <w:p w14:paraId="081E89EC" w14:textId="5BE93152" w:rsidR="00782D29" w:rsidRDefault="005141E1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six weeks of </w:t>
      </w:r>
      <w:r w:rsidR="00782D29">
        <w:rPr>
          <w:rFonts w:ascii="Arial" w:hAnsi="Arial" w:cs="Arial"/>
        </w:rPr>
        <w:t>high-fat diet</w:t>
      </w:r>
      <w:r>
        <w:rPr>
          <w:rFonts w:ascii="Arial" w:hAnsi="Arial" w:cs="Arial"/>
        </w:rPr>
        <w:t xml:space="preserve"> (HFD), </w:t>
      </w:r>
      <w:r w:rsidR="00782D29">
        <w:rPr>
          <w:rFonts w:ascii="Arial" w:hAnsi="Arial" w:cs="Arial"/>
        </w:rPr>
        <w:t xml:space="preserve">hyperglycaemia </w:t>
      </w:r>
      <w:r>
        <w:rPr>
          <w:rFonts w:ascii="Arial" w:hAnsi="Arial" w:cs="Arial"/>
        </w:rPr>
        <w:t xml:space="preserve">was induced by 5 intraperitoneal doses of 55mg/kg </w:t>
      </w:r>
      <w:r w:rsidR="00782D29">
        <w:rPr>
          <w:rFonts w:ascii="Arial" w:hAnsi="Arial" w:cs="Arial"/>
        </w:rPr>
        <w:t>streptozotocin</w:t>
      </w:r>
      <w:r w:rsidR="00DF318B">
        <w:rPr>
          <w:rFonts w:ascii="Arial" w:hAnsi="Arial" w:cs="Arial"/>
        </w:rPr>
        <w:t xml:space="preserve"> </w:t>
      </w:r>
      <w:r w:rsidR="00087AA3">
        <w:rPr>
          <w:rFonts w:ascii="Arial" w:hAnsi="Arial" w:cs="Arial"/>
        </w:rPr>
        <w:t xml:space="preserve">(STZ) </w:t>
      </w:r>
      <w:r w:rsidR="00DF318B">
        <w:rPr>
          <w:rFonts w:ascii="Arial" w:hAnsi="Arial" w:cs="Arial"/>
        </w:rPr>
        <w:t>to model diabetes</w:t>
      </w:r>
      <w:r w:rsidR="00982F41">
        <w:rPr>
          <w:rFonts w:ascii="Arial" w:hAnsi="Arial" w:cs="Arial"/>
        </w:rPr>
        <w:t xml:space="preserve"> in mice</w:t>
      </w:r>
      <w:r w:rsidR="00782D29">
        <w:rPr>
          <w:rFonts w:ascii="Arial" w:hAnsi="Arial" w:cs="Arial"/>
        </w:rPr>
        <w:t>. After 4 weeks of hyperglycaemia</w:t>
      </w:r>
      <w:r>
        <w:rPr>
          <w:rFonts w:ascii="Arial" w:hAnsi="Arial" w:cs="Arial"/>
        </w:rPr>
        <w:t xml:space="preserve"> and HFD,</w:t>
      </w:r>
      <w:r w:rsidR="00782D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mice </w:t>
      </w:r>
      <w:r w:rsidR="00782D29">
        <w:rPr>
          <w:rFonts w:ascii="Arial" w:hAnsi="Arial" w:cs="Arial"/>
        </w:rPr>
        <w:t xml:space="preserve">were subject to </w:t>
      </w:r>
      <w:r w:rsidR="00AB6801">
        <w:rPr>
          <w:rFonts w:ascii="Arial" w:hAnsi="Arial" w:cs="Arial"/>
        </w:rPr>
        <w:t>5</w:t>
      </w:r>
      <w:r w:rsidR="00782D29">
        <w:rPr>
          <w:rFonts w:ascii="Arial" w:hAnsi="Arial" w:cs="Arial"/>
        </w:rPr>
        <w:t>mm excision</w:t>
      </w:r>
      <w:r>
        <w:rPr>
          <w:rFonts w:ascii="Arial" w:hAnsi="Arial" w:cs="Arial"/>
        </w:rPr>
        <w:t>al wounds</w:t>
      </w:r>
      <w:r w:rsidR="00982F4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82D29">
        <w:rPr>
          <w:rFonts w:ascii="Arial" w:hAnsi="Arial" w:cs="Arial"/>
        </w:rPr>
        <w:t>secured with silicon splints</w:t>
      </w:r>
      <w:r w:rsidR="00982F41">
        <w:rPr>
          <w:rFonts w:ascii="Arial" w:hAnsi="Arial" w:cs="Arial"/>
        </w:rPr>
        <w:t>, modelling human</w:t>
      </w:r>
      <w:r w:rsidR="00AB6801">
        <w:rPr>
          <w:rFonts w:ascii="Arial" w:hAnsi="Arial" w:cs="Arial"/>
        </w:rPr>
        <w:t>-</w:t>
      </w:r>
      <w:r w:rsidR="00982F41">
        <w:rPr>
          <w:rFonts w:ascii="Arial" w:hAnsi="Arial" w:cs="Arial"/>
        </w:rPr>
        <w:t>like healing</w:t>
      </w:r>
      <w:r w:rsidR="00427666">
        <w:rPr>
          <w:rFonts w:ascii="Arial" w:hAnsi="Arial" w:cs="Arial"/>
        </w:rPr>
        <w:t xml:space="preserve"> by preventing contraction of the panniculus carnosus</w:t>
      </w:r>
      <w:r w:rsidR="00782D29">
        <w:rPr>
          <w:rFonts w:ascii="Arial" w:hAnsi="Arial" w:cs="Arial"/>
        </w:rPr>
        <w:t xml:space="preserve">. </w:t>
      </w:r>
      <w:r w:rsidR="008825EB">
        <w:rPr>
          <w:rFonts w:ascii="Arial" w:hAnsi="Arial" w:cs="Arial"/>
        </w:rPr>
        <w:t>Wounds were measured</w:t>
      </w:r>
      <w:r w:rsidR="00BA00B4">
        <w:rPr>
          <w:rFonts w:ascii="Arial" w:hAnsi="Arial" w:cs="Arial"/>
        </w:rPr>
        <w:t xml:space="preserve"> and</w:t>
      </w:r>
      <w:r w:rsidR="008825EB">
        <w:rPr>
          <w:rFonts w:ascii="Arial" w:hAnsi="Arial" w:cs="Arial"/>
        </w:rPr>
        <w:t xml:space="preserve"> treated </w:t>
      </w:r>
      <w:r w:rsidR="00982F41">
        <w:rPr>
          <w:rFonts w:ascii="Arial" w:hAnsi="Arial" w:cs="Arial"/>
        </w:rPr>
        <w:t xml:space="preserve">topically </w:t>
      </w:r>
      <w:r w:rsidR="008825EB">
        <w:rPr>
          <w:rFonts w:ascii="Arial" w:hAnsi="Arial" w:cs="Arial"/>
        </w:rPr>
        <w:t xml:space="preserve">with vehicle or </w:t>
      </w:r>
      <w:r>
        <w:rPr>
          <w:rFonts w:ascii="Arial" w:hAnsi="Arial" w:cs="Arial"/>
        </w:rPr>
        <w:t xml:space="preserve">drug </w:t>
      </w:r>
      <w:r w:rsidR="00DA556C">
        <w:rPr>
          <w:rFonts w:ascii="Arial" w:hAnsi="Arial" w:cs="Arial"/>
        </w:rPr>
        <w:t xml:space="preserve">then </w:t>
      </w:r>
      <w:r w:rsidR="008825EB">
        <w:rPr>
          <w:rFonts w:ascii="Arial" w:hAnsi="Arial" w:cs="Arial"/>
        </w:rPr>
        <w:t>redressed daily.</w:t>
      </w:r>
      <w:r w:rsidR="000C3E3F">
        <w:rPr>
          <w:rFonts w:ascii="Arial" w:hAnsi="Arial" w:cs="Arial"/>
        </w:rPr>
        <w:t xml:space="preserve"> Protein</w:t>
      </w:r>
      <w:r w:rsidR="00DA556C">
        <w:rPr>
          <w:rFonts w:ascii="Arial" w:hAnsi="Arial" w:cs="Arial"/>
        </w:rPr>
        <w:t>s</w:t>
      </w:r>
      <w:r w:rsidR="000C3E3F">
        <w:rPr>
          <w:rFonts w:ascii="Arial" w:hAnsi="Arial" w:cs="Arial"/>
        </w:rPr>
        <w:t xml:space="preserve"> and </w:t>
      </w:r>
      <w:r w:rsidR="00982F41">
        <w:rPr>
          <w:rFonts w:ascii="Arial" w:hAnsi="Arial" w:cs="Arial"/>
        </w:rPr>
        <w:t>gene</w:t>
      </w:r>
      <w:r w:rsidR="000C3E3F">
        <w:rPr>
          <w:rFonts w:ascii="Arial" w:hAnsi="Arial" w:cs="Arial"/>
        </w:rPr>
        <w:t xml:space="preserve"> expression w</w:t>
      </w:r>
      <w:r w:rsidR="00AB6801">
        <w:rPr>
          <w:rFonts w:ascii="Arial" w:hAnsi="Arial" w:cs="Arial"/>
        </w:rPr>
        <w:t>ere</w:t>
      </w:r>
      <w:r w:rsidR="000C3E3F">
        <w:rPr>
          <w:rFonts w:ascii="Arial" w:hAnsi="Arial" w:cs="Arial"/>
        </w:rPr>
        <w:t xml:space="preserve"> analysed from ex-vivo wounds at day 14 </w:t>
      </w:r>
      <w:r w:rsidR="003E2BA3">
        <w:rPr>
          <w:rFonts w:ascii="Arial" w:hAnsi="Arial" w:cs="Arial"/>
        </w:rPr>
        <w:t xml:space="preserve">and day 4 </w:t>
      </w:r>
      <w:r w:rsidR="000C3E3F">
        <w:rPr>
          <w:rFonts w:ascii="Arial" w:hAnsi="Arial" w:cs="Arial"/>
        </w:rPr>
        <w:t>by western blot</w:t>
      </w:r>
      <w:r w:rsidR="003E2BA3">
        <w:rPr>
          <w:rFonts w:ascii="Arial" w:hAnsi="Arial" w:cs="Arial"/>
        </w:rPr>
        <w:t>, histology</w:t>
      </w:r>
      <w:r w:rsidR="000C3E3F">
        <w:rPr>
          <w:rFonts w:ascii="Arial" w:hAnsi="Arial" w:cs="Arial"/>
        </w:rPr>
        <w:t xml:space="preserve"> and RT-qPCR.</w:t>
      </w:r>
      <w:r w:rsidR="00C45267" w:rsidRPr="00C45267">
        <w:rPr>
          <w:rFonts w:ascii="Arial" w:hAnsi="Arial" w:cs="Arial"/>
        </w:rPr>
        <w:t xml:space="preserve"> </w:t>
      </w:r>
      <w:r w:rsidR="00C45267">
        <w:rPr>
          <w:rFonts w:ascii="Arial" w:hAnsi="Arial" w:cs="Arial"/>
        </w:rPr>
        <w:t xml:space="preserve">Wound healing data was analysed using a two-way mixed-effects model with Dunnett’s multiple comparisons post-hoc test. </w:t>
      </w:r>
    </w:p>
    <w:p w14:paraId="3FE9908D" w14:textId="0E899FEE" w:rsidR="00782D29" w:rsidRDefault="00782D29" w:rsidP="008427FA">
      <w:pPr>
        <w:rPr>
          <w:rFonts w:ascii="Arial" w:hAnsi="Arial" w:cs="Arial"/>
        </w:rPr>
      </w:pPr>
    </w:p>
    <w:p w14:paraId="4E0A33FB" w14:textId="4D1752B9" w:rsidR="00782D29" w:rsidRDefault="00782D29" w:rsidP="008427FA">
      <w:pPr>
        <w:rPr>
          <w:rFonts w:ascii="Arial" w:hAnsi="Arial" w:cs="Arial"/>
        </w:rPr>
      </w:pPr>
      <w:r>
        <w:rPr>
          <w:rFonts w:ascii="Arial" w:hAnsi="Arial" w:cs="Arial"/>
        </w:rPr>
        <w:t>Results:</w:t>
      </w:r>
    </w:p>
    <w:p w14:paraId="00378204" w14:textId="1551A8C2" w:rsidR="00782D29" w:rsidRDefault="009F0A86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A77123">
        <w:rPr>
          <w:rFonts w:ascii="Arial" w:hAnsi="Arial" w:cs="Arial"/>
        </w:rPr>
        <w:t>successfully induced diabetes</w:t>
      </w:r>
      <w:r>
        <w:rPr>
          <w:rFonts w:ascii="Arial" w:hAnsi="Arial" w:cs="Arial"/>
        </w:rPr>
        <w:t xml:space="preserve"> in mice shown by</w:t>
      </w:r>
      <w:r w:rsidR="00D71EEE">
        <w:rPr>
          <w:rFonts w:ascii="Arial" w:hAnsi="Arial" w:cs="Arial"/>
        </w:rPr>
        <w:t xml:space="preserve"> dramatically increased random blood glucose and </w:t>
      </w:r>
      <w:r w:rsidR="00F22AEE">
        <w:rPr>
          <w:rFonts w:ascii="Arial" w:hAnsi="Arial" w:cs="Arial"/>
        </w:rPr>
        <w:t>markedly</w:t>
      </w:r>
      <w:r w:rsidR="007A7298">
        <w:rPr>
          <w:rFonts w:ascii="Arial" w:hAnsi="Arial" w:cs="Arial"/>
        </w:rPr>
        <w:t xml:space="preserve"> impaired glucose tolerance</w:t>
      </w:r>
      <w:r w:rsidR="00A77123">
        <w:rPr>
          <w:rFonts w:ascii="Arial" w:hAnsi="Arial" w:cs="Arial"/>
        </w:rPr>
        <w:t xml:space="preserve">. </w:t>
      </w:r>
      <w:r w:rsidR="00F22AEE">
        <w:rPr>
          <w:rFonts w:ascii="Arial" w:hAnsi="Arial" w:cs="Arial"/>
        </w:rPr>
        <w:t>The diabetic</w:t>
      </w:r>
      <w:r w:rsidR="00DF318B">
        <w:rPr>
          <w:rFonts w:ascii="Arial" w:hAnsi="Arial" w:cs="Arial"/>
        </w:rPr>
        <w:t xml:space="preserve"> </w:t>
      </w:r>
      <w:r w:rsidR="00C81FD8">
        <w:rPr>
          <w:rFonts w:ascii="Arial" w:hAnsi="Arial" w:cs="Arial"/>
        </w:rPr>
        <w:t xml:space="preserve">mice healed </w:t>
      </w:r>
      <w:r w:rsidR="00DF318B">
        <w:rPr>
          <w:rFonts w:ascii="Arial" w:hAnsi="Arial" w:cs="Arial"/>
        </w:rPr>
        <w:t xml:space="preserve">significantly </w:t>
      </w:r>
      <w:r w:rsidR="00D4079B">
        <w:rPr>
          <w:rFonts w:ascii="Arial" w:hAnsi="Arial" w:cs="Arial"/>
        </w:rPr>
        <w:t xml:space="preserve">slower </w:t>
      </w:r>
      <w:r w:rsidR="00BA234B">
        <w:rPr>
          <w:rFonts w:ascii="Arial" w:hAnsi="Arial" w:cs="Arial"/>
        </w:rPr>
        <w:t>compared to non-diabetic vehicle</w:t>
      </w:r>
      <w:r w:rsidR="00DF318B">
        <w:rPr>
          <w:rFonts w:ascii="Arial" w:hAnsi="Arial" w:cs="Arial"/>
        </w:rPr>
        <w:t xml:space="preserve"> mice</w:t>
      </w:r>
      <w:r w:rsidR="00BA234B">
        <w:rPr>
          <w:rFonts w:ascii="Arial" w:hAnsi="Arial" w:cs="Arial"/>
        </w:rPr>
        <w:t xml:space="preserve"> </w:t>
      </w:r>
      <w:r w:rsidR="00AC7CB5">
        <w:rPr>
          <w:rFonts w:ascii="Arial" w:hAnsi="Arial" w:cs="Arial"/>
        </w:rPr>
        <w:t xml:space="preserve">on </w:t>
      </w:r>
      <w:r w:rsidR="0096076E">
        <w:rPr>
          <w:rFonts w:ascii="Arial" w:hAnsi="Arial" w:cs="Arial"/>
        </w:rPr>
        <w:t>day 11</w:t>
      </w:r>
      <w:r w:rsidR="00AC7CB5">
        <w:rPr>
          <w:rFonts w:ascii="Arial" w:hAnsi="Arial" w:cs="Arial"/>
        </w:rPr>
        <w:t xml:space="preserve"> (p=</w:t>
      </w:r>
      <w:r w:rsidR="00BA234B">
        <w:rPr>
          <w:rFonts w:ascii="Arial" w:hAnsi="Arial" w:cs="Arial"/>
        </w:rPr>
        <w:t>0.0</w:t>
      </w:r>
      <w:r w:rsidR="00E64BA6">
        <w:rPr>
          <w:rFonts w:ascii="Arial" w:hAnsi="Arial" w:cs="Arial"/>
        </w:rPr>
        <w:t>229</w:t>
      </w:r>
      <w:r w:rsidR="00BA234B">
        <w:rPr>
          <w:rFonts w:ascii="Arial" w:hAnsi="Arial" w:cs="Arial"/>
        </w:rPr>
        <w:t>)</w:t>
      </w:r>
      <w:r w:rsidR="00AC7CB5">
        <w:rPr>
          <w:rFonts w:ascii="Arial" w:hAnsi="Arial" w:cs="Arial"/>
        </w:rPr>
        <w:t>,</w:t>
      </w:r>
      <w:r w:rsidR="00DD7D0C">
        <w:rPr>
          <w:rFonts w:ascii="Arial" w:hAnsi="Arial" w:cs="Arial"/>
        </w:rPr>
        <w:t xml:space="preserve"> day 12 (p=0.0124), day 13 (p=0.0099), </w:t>
      </w:r>
      <w:r w:rsidR="001A3765">
        <w:rPr>
          <w:rFonts w:ascii="Arial" w:hAnsi="Arial" w:cs="Arial"/>
        </w:rPr>
        <w:t>and 14 (p=&lt;0.0001)</w:t>
      </w:r>
      <w:r w:rsidR="00BA234B">
        <w:rPr>
          <w:rFonts w:ascii="Arial" w:hAnsi="Arial" w:cs="Arial"/>
        </w:rPr>
        <w:t xml:space="preserve">. Topical fenofibrate significantly improved </w:t>
      </w:r>
      <w:r w:rsidR="00D4079B">
        <w:rPr>
          <w:rFonts w:ascii="Arial" w:hAnsi="Arial" w:cs="Arial"/>
        </w:rPr>
        <w:t xml:space="preserve">diabetic </w:t>
      </w:r>
      <w:r w:rsidR="00BA234B">
        <w:rPr>
          <w:rFonts w:ascii="Arial" w:hAnsi="Arial" w:cs="Arial"/>
        </w:rPr>
        <w:t xml:space="preserve">wound healing compared to diabetic vehicle control </w:t>
      </w:r>
      <w:r w:rsidR="003E2BA3">
        <w:rPr>
          <w:rFonts w:ascii="Arial" w:hAnsi="Arial" w:cs="Arial"/>
        </w:rPr>
        <w:t xml:space="preserve">at day 14 </w:t>
      </w:r>
      <w:r w:rsidR="00BA234B">
        <w:rPr>
          <w:rFonts w:ascii="Arial" w:hAnsi="Arial" w:cs="Arial"/>
        </w:rPr>
        <w:t xml:space="preserve">(p=0.0005). </w:t>
      </w:r>
    </w:p>
    <w:p w14:paraId="63AE3947" w14:textId="77777777" w:rsidR="00BA234B" w:rsidRDefault="00BA234B" w:rsidP="008427FA">
      <w:pPr>
        <w:rPr>
          <w:rFonts w:ascii="Arial" w:hAnsi="Arial" w:cs="Arial"/>
        </w:rPr>
      </w:pPr>
    </w:p>
    <w:p w14:paraId="0A2D290C" w14:textId="3F7F006D" w:rsidR="00782D29" w:rsidRDefault="00782D29" w:rsidP="008427FA">
      <w:pPr>
        <w:rPr>
          <w:rFonts w:ascii="Arial" w:hAnsi="Arial" w:cs="Arial"/>
        </w:rPr>
      </w:pPr>
      <w:r>
        <w:rPr>
          <w:rFonts w:ascii="Arial" w:hAnsi="Arial" w:cs="Arial"/>
        </w:rPr>
        <w:t>Conclusion</w:t>
      </w:r>
      <w:r w:rsidR="00DF318B">
        <w:rPr>
          <w:rFonts w:ascii="Arial" w:hAnsi="Arial" w:cs="Arial"/>
        </w:rPr>
        <w:t>:</w:t>
      </w:r>
    </w:p>
    <w:p w14:paraId="484FA34F" w14:textId="4F3F3C0B" w:rsidR="00830A4D" w:rsidRPr="007244F0" w:rsidRDefault="00DF318B">
      <w:pPr>
        <w:rPr>
          <w:rFonts w:ascii="Arial" w:hAnsi="Arial" w:cs="Arial"/>
        </w:rPr>
      </w:pPr>
      <w:r>
        <w:rPr>
          <w:rFonts w:ascii="Arial" w:hAnsi="Arial" w:cs="Arial"/>
        </w:rPr>
        <w:t>Our findings suggest that repurposing fenofibrate in a topical form may be an effective strategy for improving healing</w:t>
      </w:r>
      <w:r w:rsidR="00982F41">
        <w:rPr>
          <w:rFonts w:ascii="Arial" w:hAnsi="Arial" w:cs="Arial"/>
        </w:rPr>
        <w:t xml:space="preserve"> in humans with diabetic ulcers</w:t>
      </w:r>
      <w:r w:rsidR="00C45267">
        <w:rPr>
          <w:rFonts w:ascii="Arial" w:hAnsi="Arial" w:cs="Arial"/>
        </w:rPr>
        <w:t>. T</w:t>
      </w:r>
      <w:r w:rsidR="00745B7A">
        <w:rPr>
          <w:rFonts w:ascii="Arial" w:hAnsi="Arial" w:cs="Arial"/>
        </w:rPr>
        <w:t>his is a strong</w:t>
      </w:r>
      <w:r w:rsidR="00AF1DB2">
        <w:rPr>
          <w:rFonts w:ascii="Arial" w:hAnsi="Arial" w:cs="Arial"/>
        </w:rPr>
        <w:t xml:space="preserve"> candidate for rapid clinical translation that can have a real impact for more than 100 million people with diabetic foot ulcers</w:t>
      </w:r>
      <w:r>
        <w:rPr>
          <w:rFonts w:ascii="Arial" w:hAnsi="Arial" w:cs="Arial"/>
        </w:rPr>
        <w:t xml:space="preserve">. </w:t>
      </w: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87AA3"/>
    <w:rsid w:val="000A1A00"/>
    <w:rsid w:val="000C3E3F"/>
    <w:rsid w:val="000D1B5E"/>
    <w:rsid w:val="001A3765"/>
    <w:rsid w:val="0022607B"/>
    <w:rsid w:val="0028124D"/>
    <w:rsid w:val="002E7AD3"/>
    <w:rsid w:val="00376B39"/>
    <w:rsid w:val="003D5208"/>
    <w:rsid w:val="003E2BA3"/>
    <w:rsid w:val="00427666"/>
    <w:rsid w:val="00476A44"/>
    <w:rsid w:val="00483BCA"/>
    <w:rsid w:val="004E09DD"/>
    <w:rsid w:val="004E1BAC"/>
    <w:rsid w:val="005141E1"/>
    <w:rsid w:val="005472BD"/>
    <w:rsid w:val="005A2857"/>
    <w:rsid w:val="00603B15"/>
    <w:rsid w:val="006C6AB8"/>
    <w:rsid w:val="006F5430"/>
    <w:rsid w:val="007244F0"/>
    <w:rsid w:val="0074290C"/>
    <w:rsid w:val="00745B7A"/>
    <w:rsid w:val="00782D29"/>
    <w:rsid w:val="007A7298"/>
    <w:rsid w:val="00830A4D"/>
    <w:rsid w:val="008427FA"/>
    <w:rsid w:val="008825EB"/>
    <w:rsid w:val="008953CF"/>
    <w:rsid w:val="00912793"/>
    <w:rsid w:val="0096076E"/>
    <w:rsid w:val="00982F41"/>
    <w:rsid w:val="009A582D"/>
    <w:rsid w:val="009D79DB"/>
    <w:rsid w:val="009F0A86"/>
    <w:rsid w:val="00A04D1F"/>
    <w:rsid w:val="00A27FB0"/>
    <w:rsid w:val="00A77123"/>
    <w:rsid w:val="00A85759"/>
    <w:rsid w:val="00AB6801"/>
    <w:rsid w:val="00AC7CB5"/>
    <w:rsid w:val="00AD4E35"/>
    <w:rsid w:val="00AF1DB2"/>
    <w:rsid w:val="00B653CA"/>
    <w:rsid w:val="00BA00B4"/>
    <w:rsid w:val="00BA234B"/>
    <w:rsid w:val="00BC540F"/>
    <w:rsid w:val="00BC73E4"/>
    <w:rsid w:val="00C24FFC"/>
    <w:rsid w:val="00C45267"/>
    <w:rsid w:val="00C81FD8"/>
    <w:rsid w:val="00D4079B"/>
    <w:rsid w:val="00D56368"/>
    <w:rsid w:val="00D6483F"/>
    <w:rsid w:val="00D71EEE"/>
    <w:rsid w:val="00DA556C"/>
    <w:rsid w:val="00DD0D64"/>
    <w:rsid w:val="00DD7D0C"/>
    <w:rsid w:val="00DF318B"/>
    <w:rsid w:val="00E64BA6"/>
    <w:rsid w:val="00EA4129"/>
    <w:rsid w:val="00F2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7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A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cab52c9b-ab33-4221-8af9-54f8f2b86a80"/>
    <ds:schemaRef ds:uri="9c8a2b7b-0bee-4c48-b0a6-23db8982d3bc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2540EB26-7614-4585-BE9E-D8B97AE34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2025-05-22T08:48:00Z</dcterms:created>
  <dcterms:modified xsi:type="dcterms:W3CDTF">2025-05-22T08:48:00Z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