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6354" w14:textId="77777777" w:rsidR="007672CA" w:rsidRDefault="007672CA" w:rsidP="008427FA">
      <w:pPr>
        <w:rPr>
          <w:rFonts w:ascii="Arial" w:hAnsi="Arial" w:cs="Arial"/>
          <w:b/>
          <w:bCs/>
        </w:rPr>
      </w:pPr>
    </w:p>
    <w:p w14:paraId="5AF52EA0" w14:textId="09D8237F" w:rsidR="00275F9F" w:rsidRPr="007672CA" w:rsidRDefault="00C82C5E" w:rsidP="008427FA">
      <w:pPr>
        <w:rPr>
          <w:rFonts w:ascii="Arial" w:hAnsi="Arial" w:cs="Arial"/>
          <w:b/>
          <w:bCs/>
        </w:rPr>
      </w:pPr>
      <w:r w:rsidRPr="007672CA">
        <w:rPr>
          <w:rFonts w:ascii="Arial" w:hAnsi="Arial" w:cs="Arial"/>
          <w:b/>
          <w:bCs/>
        </w:rPr>
        <w:t>T</w:t>
      </w:r>
      <w:r w:rsidR="00275F9F" w:rsidRPr="007672CA">
        <w:rPr>
          <w:rFonts w:ascii="Arial" w:hAnsi="Arial" w:cs="Arial"/>
          <w:b/>
          <w:bCs/>
        </w:rPr>
        <w:t xml:space="preserve">raditional cardiometabolic risk </w:t>
      </w:r>
      <w:r w:rsidR="007F0577" w:rsidRPr="007672CA">
        <w:rPr>
          <w:rFonts w:ascii="Arial" w:hAnsi="Arial" w:cs="Arial"/>
          <w:b/>
          <w:bCs/>
        </w:rPr>
        <w:t xml:space="preserve">factor attainment </w:t>
      </w:r>
      <w:r w:rsidR="00275F9F" w:rsidRPr="007672CA">
        <w:rPr>
          <w:rFonts w:ascii="Arial" w:hAnsi="Arial" w:cs="Arial"/>
          <w:b/>
          <w:bCs/>
        </w:rPr>
        <w:t>in adults with type 1 diabetes</w:t>
      </w:r>
      <w:r w:rsidRPr="007672CA">
        <w:rPr>
          <w:rFonts w:ascii="Arial" w:hAnsi="Arial" w:cs="Arial"/>
          <w:b/>
          <w:bCs/>
        </w:rPr>
        <w:t xml:space="preserve">: </w:t>
      </w:r>
      <w:r w:rsidR="001F1F37" w:rsidRPr="007672CA">
        <w:rPr>
          <w:rFonts w:ascii="Arial" w:hAnsi="Arial" w:cs="Arial"/>
          <w:b/>
          <w:bCs/>
        </w:rPr>
        <w:t>a</w:t>
      </w:r>
      <w:r w:rsidRPr="007672CA">
        <w:rPr>
          <w:rFonts w:ascii="Arial" w:hAnsi="Arial" w:cs="Arial"/>
          <w:b/>
          <w:bCs/>
        </w:rPr>
        <w:t xml:space="preserve"> large clinic audit</w:t>
      </w:r>
      <w:r w:rsidR="007D7554" w:rsidRPr="007672CA">
        <w:rPr>
          <w:rFonts w:ascii="Arial" w:hAnsi="Arial" w:cs="Arial"/>
          <w:b/>
          <w:bCs/>
        </w:rPr>
        <w:t>.</w:t>
      </w:r>
    </w:p>
    <w:p w14:paraId="5B593F24" w14:textId="77777777" w:rsidR="007672CA" w:rsidRDefault="007672CA" w:rsidP="008427FA">
      <w:pPr>
        <w:rPr>
          <w:rFonts w:ascii="Arial" w:hAnsi="Arial" w:cs="Arial"/>
        </w:rPr>
      </w:pPr>
    </w:p>
    <w:p w14:paraId="7BE4AE49" w14:textId="5789C50C" w:rsidR="008427FA" w:rsidRPr="00C27BB3" w:rsidRDefault="00326309" w:rsidP="008427FA">
      <w:pPr>
        <w:rPr>
          <w:rFonts w:ascii="Arial" w:hAnsi="Arial" w:cs="Arial"/>
        </w:rPr>
      </w:pPr>
      <w:r w:rsidRPr="007672CA">
        <w:rPr>
          <w:rFonts w:ascii="Arial" w:hAnsi="Arial" w:cs="Arial"/>
          <w:b/>
          <w:bCs/>
        </w:rPr>
        <w:t>Aims:</w:t>
      </w:r>
      <w:r w:rsidR="00275C9C">
        <w:rPr>
          <w:rFonts w:ascii="Arial" w:hAnsi="Arial" w:cs="Arial"/>
        </w:rPr>
        <w:t xml:space="preserve"> </w:t>
      </w:r>
      <w:r w:rsidR="00BF738D">
        <w:rPr>
          <w:rFonts w:ascii="Arial" w:hAnsi="Arial" w:cs="Arial"/>
        </w:rPr>
        <w:t>To</w:t>
      </w:r>
      <w:r w:rsidR="00275F9F" w:rsidRPr="00C27BB3">
        <w:rPr>
          <w:rFonts w:ascii="Arial" w:hAnsi="Arial" w:cs="Arial"/>
        </w:rPr>
        <w:t xml:space="preserve"> assess </w:t>
      </w:r>
      <w:r w:rsidR="00C82C5E">
        <w:rPr>
          <w:rFonts w:ascii="Arial" w:hAnsi="Arial" w:cs="Arial"/>
        </w:rPr>
        <w:t xml:space="preserve">cardiometabolic </w:t>
      </w:r>
      <w:r w:rsidR="00C82C5E" w:rsidRPr="00C27BB3">
        <w:rPr>
          <w:rFonts w:ascii="Arial" w:hAnsi="Arial" w:cs="Arial"/>
        </w:rPr>
        <w:t xml:space="preserve">risk factors </w:t>
      </w:r>
      <w:r w:rsidR="00275F9F" w:rsidRPr="00C27BB3">
        <w:rPr>
          <w:rFonts w:ascii="Arial" w:hAnsi="Arial" w:cs="Arial"/>
        </w:rPr>
        <w:t xml:space="preserve">levels and target attainment </w:t>
      </w:r>
      <w:r w:rsidR="00F5726C">
        <w:rPr>
          <w:rFonts w:ascii="Arial" w:hAnsi="Arial" w:cs="Arial"/>
        </w:rPr>
        <w:t xml:space="preserve">rates </w:t>
      </w:r>
      <w:r w:rsidR="00275F9F" w:rsidRPr="00C27BB3">
        <w:rPr>
          <w:rFonts w:ascii="Arial" w:hAnsi="Arial" w:cs="Arial"/>
        </w:rPr>
        <w:t>in adults with type 1 diabetes</w:t>
      </w:r>
      <w:r w:rsidR="00F5726C">
        <w:rPr>
          <w:rFonts w:ascii="Arial" w:hAnsi="Arial" w:cs="Arial"/>
        </w:rPr>
        <w:t xml:space="preserve"> (T1D)</w:t>
      </w:r>
      <w:r w:rsidR="00275F9F" w:rsidRPr="00C27BB3">
        <w:rPr>
          <w:rFonts w:ascii="Arial" w:hAnsi="Arial" w:cs="Arial"/>
        </w:rPr>
        <w:t>.</w:t>
      </w:r>
    </w:p>
    <w:p w14:paraId="0EFF133E" w14:textId="77777777" w:rsidR="008427FA" w:rsidRPr="00C27BB3" w:rsidRDefault="008427FA" w:rsidP="008427FA">
      <w:pPr>
        <w:rPr>
          <w:rFonts w:ascii="Arial" w:hAnsi="Arial" w:cs="Arial"/>
        </w:rPr>
      </w:pPr>
    </w:p>
    <w:p w14:paraId="3C2F0DFC" w14:textId="65B371C8" w:rsidR="00275F9F" w:rsidRPr="007672CA" w:rsidRDefault="00326309" w:rsidP="00275F9F">
      <w:pPr>
        <w:rPr>
          <w:rFonts w:ascii="Arial" w:hAnsi="Arial" w:cs="Arial"/>
          <w:b/>
          <w:bCs/>
        </w:rPr>
      </w:pPr>
      <w:r w:rsidRPr="007672CA">
        <w:rPr>
          <w:rFonts w:ascii="Arial" w:hAnsi="Arial" w:cs="Arial"/>
          <w:b/>
          <w:bCs/>
        </w:rPr>
        <w:t>Methods</w:t>
      </w:r>
      <w:r w:rsidR="00275F9F" w:rsidRPr="007672CA">
        <w:rPr>
          <w:rFonts w:ascii="Arial" w:hAnsi="Arial" w:cs="Arial"/>
          <w:b/>
          <w:bCs/>
        </w:rPr>
        <w:t>:</w:t>
      </w:r>
    </w:p>
    <w:p w14:paraId="31D0139D" w14:textId="2D3A90FD" w:rsidR="00C464BC" w:rsidRDefault="00275F9F" w:rsidP="008427FA">
      <w:pPr>
        <w:rPr>
          <w:rFonts w:ascii="Arial" w:hAnsi="Arial" w:cs="Arial"/>
        </w:rPr>
      </w:pPr>
      <w:r w:rsidRPr="00C27BB3">
        <w:rPr>
          <w:rFonts w:ascii="Arial" w:hAnsi="Arial" w:cs="Arial"/>
        </w:rPr>
        <w:t>A</w:t>
      </w:r>
      <w:r w:rsidR="00326309">
        <w:rPr>
          <w:rFonts w:ascii="Arial" w:hAnsi="Arial" w:cs="Arial"/>
        </w:rPr>
        <w:t xml:space="preserve"> </w:t>
      </w:r>
      <w:r w:rsidRPr="00C27BB3">
        <w:rPr>
          <w:rFonts w:ascii="Arial" w:hAnsi="Arial" w:cs="Arial"/>
        </w:rPr>
        <w:t xml:space="preserve">cross-sectional </w:t>
      </w:r>
      <w:r w:rsidR="00E65E73">
        <w:rPr>
          <w:rFonts w:ascii="Arial" w:hAnsi="Arial" w:cs="Arial"/>
        </w:rPr>
        <w:t xml:space="preserve">audit </w:t>
      </w:r>
      <w:r w:rsidRPr="00C27BB3">
        <w:rPr>
          <w:rFonts w:ascii="Arial" w:hAnsi="Arial" w:cs="Arial"/>
        </w:rPr>
        <w:t xml:space="preserve">of adults with T1D attending Baker Heart and Diabetes Institute Diabetes Clinics in the last 10-years. </w:t>
      </w:r>
      <w:r w:rsidR="00913719">
        <w:rPr>
          <w:rFonts w:ascii="Arial" w:hAnsi="Arial" w:cs="Arial"/>
        </w:rPr>
        <w:t>Median risk factor values, p</w:t>
      </w:r>
      <w:r w:rsidR="00913719" w:rsidRPr="00C27BB3">
        <w:rPr>
          <w:rFonts w:ascii="Arial" w:hAnsi="Arial" w:cs="Arial"/>
        </w:rPr>
        <w:t xml:space="preserve">ercent meeting </w:t>
      </w:r>
      <w:r w:rsidR="00913719">
        <w:rPr>
          <w:rFonts w:ascii="Arial" w:hAnsi="Arial" w:cs="Arial"/>
        </w:rPr>
        <w:t xml:space="preserve">target, </w:t>
      </w:r>
      <w:r w:rsidR="00913719" w:rsidRPr="00275C9C">
        <w:rPr>
          <w:rFonts w:ascii="Arial" w:hAnsi="Arial" w:cs="Arial"/>
        </w:rPr>
        <w:t>median number of targets met</w:t>
      </w:r>
      <w:r w:rsidR="00913719">
        <w:rPr>
          <w:rFonts w:ascii="Arial" w:hAnsi="Arial" w:cs="Arial"/>
        </w:rPr>
        <w:t xml:space="preserve">, percent </w:t>
      </w:r>
      <w:r w:rsidR="00913719" w:rsidRPr="00C27BB3">
        <w:rPr>
          <w:rFonts w:ascii="Arial" w:hAnsi="Arial" w:cs="Arial"/>
        </w:rPr>
        <w:t xml:space="preserve">on lipid and blood pressure </w:t>
      </w:r>
      <w:r w:rsidR="00913719">
        <w:rPr>
          <w:rFonts w:ascii="Arial" w:hAnsi="Arial" w:cs="Arial"/>
        </w:rPr>
        <w:t>(BP) drugs</w:t>
      </w:r>
      <w:r w:rsidR="00913719" w:rsidRPr="00C27BB3">
        <w:rPr>
          <w:rFonts w:ascii="Arial" w:hAnsi="Arial" w:cs="Arial"/>
        </w:rPr>
        <w:t xml:space="preserve"> </w:t>
      </w:r>
      <w:r w:rsidR="00913719">
        <w:rPr>
          <w:rFonts w:ascii="Arial" w:hAnsi="Arial" w:cs="Arial"/>
        </w:rPr>
        <w:t>and between group differences were analysed. Statistics: D</w:t>
      </w:r>
      <w:r w:rsidRPr="00C27BB3">
        <w:rPr>
          <w:rFonts w:ascii="Arial" w:hAnsi="Arial" w:cs="Arial"/>
        </w:rPr>
        <w:t xml:space="preserve">escriptive </w:t>
      </w:r>
      <w:r w:rsidR="00AF7664">
        <w:rPr>
          <w:rFonts w:ascii="Arial" w:hAnsi="Arial" w:cs="Arial"/>
        </w:rPr>
        <w:t>s</w:t>
      </w:r>
      <w:r w:rsidRPr="00C27BB3">
        <w:rPr>
          <w:rFonts w:ascii="Arial" w:hAnsi="Arial" w:cs="Arial"/>
        </w:rPr>
        <w:t>tatistics, Kruskal-Wallis with Dunn’s Multiple Comparisons, Mann-Witney non</w:t>
      </w:r>
      <w:r w:rsidR="00913719">
        <w:rPr>
          <w:rFonts w:ascii="Arial" w:hAnsi="Arial" w:cs="Arial"/>
        </w:rPr>
        <w:t>-</w:t>
      </w:r>
      <w:r w:rsidRPr="00C27BB3">
        <w:rPr>
          <w:rFonts w:ascii="Arial" w:hAnsi="Arial" w:cs="Arial"/>
        </w:rPr>
        <w:t>parametric tests and Chi-Square</w:t>
      </w:r>
      <w:r w:rsidR="00C27BB3">
        <w:rPr>
          <w:rFonts w:ascii="Arial" w:hAnsi="Arial" w:cs="Arial"/>
        </w:rPr>
        <w:t xml:space="preserve"> test</w:t>
      </w:r>
      <w:r w:rsidR="00C82C5E">
        <w:rPr>
          <w:rFonts w:ascii="Arial" w:hAnsi="Arial" w:cs="Arial"/>
        </w:rPr>
        <w:t xml:space="preserve">, </w:t>
      </w:r>
      <w:r w:rsidR="00C464BC">
        <w:rPr>
          <w:rFonts w:ascii="Arial" w:hAnsi="Arial" w:cs="Arial"/>
        </w:rPr>
        <w:t>significance at</w:t>
      </w:r>
      <w:r w:rsidR="00C82C5E">
        <w:rPr>
          <w:rFonts w:ascii="Arial" w:hAnsi="Arial" w:cs="Arial"/>
        </w:rPr>
        <w:t xml:space="preserve"> two-tailed p&lt;0.05</w:t>
      </w:r>
      <w:r w:rsidRPr="00C27BB3">
        <w:rPr>
          <w:rFonts w:ascii="Arial" w:hAnsi="Arial" w:cs="Arial"/>
        </w:rPr>
        <w:t xml:space="preserve">. </w:t>
      </w:r>
    </w:p>
    <w:p w14:paraId="3182D282" w14:textId="77777777" w:rsidR="00275F9F" w:rsidRPr="007672CA" w:rsidRDefault="00275F9F" w:rsidP="008427FA">
      <w:pPr>
        <w:rPr>
          <w:rFonts w:ascii="Arial" w:hAnsi="Arial" w:cs="Arial"/>
          <w:b/>
          <w:bCs/>
        </w:rPr>
      </w:pPr>
    </w:p>
    <w:p w14:paraId="65C859DD" w14:textId="3322A911" w:rsidR="00275F9F" w:rsidRPr="007672CA" w:rsidRDefault="00275F9F" w:rsidP="008427FA">
      <w:pPr>
        <w:rPr>
          <w:rFonts w:ascii="Arial" w:hAnsi="Arial" w:cs="Arial"/>
          <w:b/>
          <w:bCs/>
        </w:rPr>
      </w:pPr>
      <w:r w:rsidRPr="007672CA">
        <w:rPr>
          <w:rFonts w:ascii="Arial" w:hAnsi="Arial" w:cs="Arial"/>
          <w:b/>
          <w:bCs/>
        </w:rPr>
        <w:t>Results:</w:t>
      </w:r>
    </w:p>
    <w:p w14:paraId="51B1F647" w14:textId="28C3D9B0" w:rsidR="007E4BBA" w:rsidRDefault="00913719" w:rsidP="00275F9F">
      <w:pPr>
        <w:rPr>
          <w:rFonts w:ascii="Arial" w:hAnsi="Arial" w:cs="Arial"/>
        </w:rPr>
      </w:pPr>
      <w:r>
        <w:rPr>
          <w:rFonts w:ascii="Arial" w:hAnsi="Arial" w:cs="Arial"/>
        </w:rPr>
        <w:t>N=</w:t>
      </w:r>
      <w:r w:rsidR="00275F9F" w:rsidRPr="00C27BB3">
        <w:rPr>
          <w:rFonts w:ascii="Arial" w:hAnsi="Arial" w:cs="Arial"/>
        </w:rPr>
        <w:t>1480 patients</w:t>
      </w:r>
      <w:r w:rsidR="00BF738D">
        <w:rPr>
          <w:rFonts w:ascii="Arial" w:hAnsi="Arial" w:cs="Arial"/>
        </w:rPr>
        <w:t>:</w:t>
      </w:r>
      <w:r w:rsidR="00275F9F" w:rsidRPr="00C27BB3">
        <w:rPr>
          <w:rFonts w:ascii="Arial" w:hAnsi="Arial" w:cs="Arial"/>
        </w:rPr>
        <w:t xml:space="preserve"> 56% male</w:t>
      </w:r>
      <w:r w:rsidR="007F2812">
        <w:rPr>
          <w:rFonts w:ascii="Arial" w:hAnsi="Arial" w:cs="Arial"/>
        </w:rPr>
        <w:t>;</w:t>
      </w:r>
      <w:r w:rsidR="00275F9F" w:rsidRPr="00C27BB3">
        <w:rPr>
          <w:rFonts w:ascii="Arial" w:hAnsi="Arial" w:cs="Arial"/>
        </w:rPr>
        <w:t xml:space="preserve"> median (25</w:t>
      </w:r>
      <w:r w:rsidR="00275F9F" w:rsidRPr="00C27BB3">
        <w:rPr>
          <w:rFonts w:ascii="Arial" w:hAnsi="Arial" w:cs="Arial"/>
          <w:vertAlign w:val="superscript"/>
        </w:rPr>
        <w:t>th</w:t>
      </w:r>
      <w:r w:rsidR="00275F9F" w:rsidRPr="00C27BB3">
        <w:rPr>
          <w:rFonts w:ascii="Arial" w:hAnsi="Arial" w:cs="Arial"/>
        </w:rPr>
        <w:t>, 75</w:t>
      </w:r>
      <w:r w:rsidR="00275F9F" w:rsidRPr="00C27BB3">
        <w:rPr>
          <w:rFonts w:ascii="Arial" w:hAnsi="Arial" w:cs="Arial"/>
          <w:vertAlign w:val="superscript"/>
        </w:rPr>
        <w:t>th</w:t>
      </w:r>
      <w:r w:rsidR="00275F9F" w:rsidRPr="00C27BB3">
        <w:rPr>
          <w:rFonts w:ascii="Arial" w:hAnsi="Arial" w:cs="Arial"/>
        </w:rPr>
        <w:t xml:space="preserve"> percentile) age 50 (36, 63) </w:t>
      </w:r>
      <w:r w:rsidR="00341E83">
        <w:rPr>
          <w:rFonts w:ascii="Arial" w:hAnsi="Arial" w:cs="Arial"/>
        </w:rPr>
        <w:t>years</w:t>
      </w:r>
      <w:r>
        <w:rPr>
          <w:rFonts w:ascii="Arial" w:hAnsi="Arial" w:cs="Arial"/>
        </w:rPr>
        <w:t xml:space="preserve">, </w:t>
      </w:r>
      <w:r w:rsidR="00275F9F" w:rsidRPr="00C27BB3">
        <w:rPr>
          <w:rFonts w:ascii="Arial" w:hAnsi="Arial" w:cs="Arial"/>
        </w:rPr>
        <w:t xml:space="preserve">22 years (13, 34) T1D. </w:t>
      </w:r>
      <w:r w:rsidR="00C464BC">
        <w:rPr>
          <w:rFonts w:ascii="Arial" w:hAnsi="Arial" w:cs="Arial"/>
        </w:rPr>
        <w:t>Smoking data available for n=1035 (70%)</w:t>
      </w:r>
      <w:r w:rsidR="00BF738D">
        <w:rPr>
          <w:rFonts w:ascii="Arial" w:hAnsi="Arial" w:cs="Arial"/>
        </w:rPr>
        <w:t xml:space="preserve">: </w:t>
      </w:r>
      <w:r w:rsidR="00445151">
        <w:rPr>
          <w:rFonts w:ascii="Arial" w:hAnsi="Arial" w:cs="Arial"/>
          <w:lang w:val="en-AU"/>
        </w:rPr>
        <w:t>15</w:t>
      </w:r>
      <w:r w:rsidR="007E4BBA">
        <w:rPr>
          <w:rFonts w:ascii="Arial" w:hAnsi="Arial" w:cs="Arial"/>
          <w:lang w:val="en-AU"/>
        </w:rPr>
        <w:t>%</w:t>
      </w:r>
      <w:r>
        <w:rPr>
          <w:rFonts w:ascii="Arial" w:hAnsi="Arial" w:cs="Arial"/>
          <w:lang w:val="en-AU"/>
        </w:rPr>
        <w:t xml:space="preserve"> </w:t>
      </w:r>
      <w:r w:rsidR="007E4BBA">
        <w:rPr>
          <w:rFonts w:ascii="Arial" w:hAnsi="Arial" w:cs="Arial"/>
          <w:lang w:val="en-AU"/>
        </w:rPr>
        <w:t xml:space="preserve">smokers. </w:t>
      </w:r>
      <w:r w:rsidR="00341E83">
        <w:rPr>
          <w:rFonts w:ascii="Arial" w:hAnsi="Arial" w:cs="Arial"/>
        </w:rPr>
        <w:t>C</w:t>
      </w:r>
      <w:r w:rsidR="00501092">
        <w:rPr>
          <w:rFonts w:ascii="Arial" w:hAnsi="Arial" w:cs="Arial"/>
        </w:rPr>
        <w:t>ontinuous glucose monitors</w:t>
      </w:r>
      <w:r w:rsidR="00341E83">
        <w:rPr>
          <w:rFonts w:ascii="Arial" w:hAnsi="Arial" w:cs="Arial"/>
        </w:rPr>
        <w:t xml:space="preserve"> </w:t>
      </w:r>
      <w:r w:rsidR="003362C4">
        <w:rPr>
          <w:rFonts w:ascii="Arial" w:hAnsi="Arial" w:cs="Arial"/>
        </w:rPr>
        <w:t>and insulin pumps</w:t>
      </w:r>
      <w:r w:rsidR="00BF738D">
        <w:rPr>
          <w:rFonts w:ascii="Arial" w:hAnsi="Arial" w:cs="Arial"/>
        </w:rPr>
        <w:t xml:space="preserve"> </w:t>
      </w:r>
      <w:r w:rsidR="00A41F55">
        <w:rPr>
          <w:rFonts w:ascii="Arial" w:hAnsi="Arial" w:cs="Arial"/>
        </w:rPr>
        <w:t>were used b</w:t>
      </w:r>
      <w:r w:rsidR="00341E83">
        <w:rPr>
          <w:rFonts w:ascii="Arial" w:hAnsi="Arial" w:cs="Arial"/>
        </w:rPr>
        <w:t xml:space="preserve">y </w:t>
      </w:r>
      <w:r w:rsidR="00445151">
        <w:rPr>
          <w:rFonts w:ascii="Arial" w:hAnsi="Arial" w:cs="Arial"/>
        </w:rPr>
        <w:t>71</w:t>
      </w:r>
      <w:r w:rsidR="003362C4">
        <w:rPr>
          <w:rFonts w:ascii="Arial" w:hAnsi="Arial" w:cs="Arial"/>
        </w:rPr>
        <w:t>%</w:t>
      </w:r>
      <w:r w:rsidR="00341E83">
        <w:rPr>
          <w:rFonts w:ascii="Arial" w:hAnsi="Arial" w:cs="Arial"/>
        </w:rPr>
        <w:t xml:space="preserve"> and</w:t>
      </w:r>
      <w:r w:rsidR="003362C4">
        <w:rPr>
          <w:rFonts w:ascii="Arial" w:hAnsi="Arial" w:cs="Arial"/>
        </w:rPr>
        <w:t xml:space="preserve"> </w:t>
      </w:r>
      <w:r w:rsidR="00445151">
        <w:rPr>
          <w:rFonts w:ascii="Arial" w:hAnsi="Arial" w:cs="Arial"/>
        </w:rPr>
        <w:t>28</w:t>
      </w:r>
      <w:r w:rsidR="00341E83">
        <w:rPr>
          <w:rFonts w:ascii="Arial" w:hAnsi="Arial" w:cs="Arial"/>
        </w:rPr>
        <w:t>%</w:t>
      </w:r>
      <w:r w:rsidR="003362C4">
        <w:rPr>
          <w:rFonts w:ascii="Arial" w:hAnsi="Arial" w:cs="Arial"/>
        </w:rPr>
        <w:t xml:space="preserve"> respectively. </w:t>
      </w:r>
    </w:p>
    <w:p w14:paraId="09081906" w14:textId="77777777" w:rsidR="00326309" w:rsidRDefault="00326309" w:rsidP="00275F9F">
      <w:pPr>
        <w:rPr>
          <w:rFonts w:ascii="Arial" w:hAnsi="Arial" w:cs="Arial"/>
        </w:rPr>
      </w:pPr>
    </w:p>
    <w:p w14:paraId="6A33D8CA" w14:textId="4B92C0B1" w:rsidR="00897552" w:rsidRDefault="00326309" w:rsidP="00275F9F">
      <w:pPr>
        <w:rPr>
          <w:rFonts w:ascii="Arial" w:hAnsi="Arial" w:cs="Arial"/>
        </w:rPr>
      </w:pPr>
      <w:r>
        <w:rPr>
          <w:rFonts w:ascii="Arial" w:hAnsi="Arial" w:cs="Arial"/>
        </w:rPr>
        <w:t>Risk</w:t>
      </w:r>
      <w:r w:rsidR="007E4BBA">
        <w:rPr>
          <w:rFonts w:ascii="Arial" w:hAnsi="Arial" w:cs="Arial"/>
        </w:rPr>
        <w:t xml:space="preserve"> factor levels and percentage </w:t>
      </w:r>
      <w:r w:rsidR="00BF738D">
        <w:rPr>
          <w:rFonts w:ascii="Arial" w:hAnsi="Arial" w:cs="Arial"/>
        </w:rPr>
        <w:t>attainment</w:t>
      </w:r>
      <w:r w:rsidR="007E4BBA">
        <w:rPr>
          <w:rFonts w:ascii="Arial" w:hAnsi="Arial" w:cs="Arial"/>
        </w:rPr>
        <w:t xml:space="preserve"> for all subjects</w:t>
      </w:r>
      <w:r>
        <w:rPr>
          <w:rFonts w:ascii="Arial" w:hAnsi="Arial" w:cs="Arial"/>
        </w:rPr>
        <w:t>:</w:t>
      </w:r>
      <w:r w:rsidR="00A41F55">
        <w:rPr>
          <w:rFonts w:ascii="Arial" w:hAnsi="Arial" w:cs="Arial"/>
        </w:rPr>
        <w:t xml:space="preserve"> (n=1480)</w:t>
      </w:r>
      <w:r w:rsidR="00501092">
        <w:rPr>
          <w:rFonts w:ascii="Arial" w:hAnsi="Arial" w:cs="Arial"/>
        </w:rPr>
        <w:t>.</w:t>
      </w:r>
    </w:p>
    <w:p w14:paraId="4351887F" w14:textId="77777777" w:rsidR="00897552" w:rsidRDefault="00897552" w:rsidP="00275F9F">
      <w:pPr>
        <w:rPr>
          <w:rFonts w:ascii="Arial" w:hAnsi="Arial" w:cs="Arial"/>
        </w:rPr>
      </w:pPr>
    </w:p>
    <w:tbl>
      <w:tblPr>
        <w:tblStyle w:val="TableGrid"/>
        <w:tblW w:w="11624" w:type="dxa"/>
        <w:tblInd w:w="-1281" w:type="dxa"/>
        <w:tblLook w:val="04A0" w:firstRow="1" w:lastRow="0" w:firstColumn="1" w:lastColumn="0" w:noHBand="0" w:noVBand="1"/>
      </w:tblPr>
      <w:tblGrid>
        <w:gridCol w:w="4111"/>
        <w:gridCol w:w="3828"/>
        <w:gridCol w:w="3685"/>
      </w:tblGrid>
      <w:tr w:rsidR="00897552" w14:paraId="7CDBCD3F" w14:textId="77777777" w:rsidTr="00C116D3">
        <w:trPr>
          <w:trHeight w:val="462"/>
        </w:trPr>
        <w:tc>
          <w:tcPr>
            <w:tcW w:w="4111" w:type="dxa"/>
            <w:vAlign w:val="center"/>
          </w:tcPr>
          <w:p w14:paraId="180050FF" w14:textId="3DED346C" w:rsidR="00897552" w:rsidRDefault="00897552" w:rsidP="00275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factor</w:t>
            </w:r>
            <w:r w:rsidR="00A4515A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target</w:t>
            </w:r>
          </w:p>
        </w:tc>
        <w:tc>
          <w:tcPr>
            <w:tcW w:w="3828" w:type="dxa"/>
            <w:vAlign w:val="center"/>
          </w:tcPr>
          <w:p w14:paraId="5F3013BD" w14:textId="2576CD37" w:rsidR="00897552" w:rsidRDefault="00897552" w:rsidP="00275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Median value </w:t>
            </w:r>
            <w:r w:rsidRPr="00C27BB3">
              <w:rPr>
                <w:rFonts w:ascii="Arial" w:hAnsi="Arial" w:cs="Arial"/>
              </w:rPr>
              <w:t>(25</w:t>
            </w:r>
            <w:r w:rsidRPr="00C27BB3">
              <w:rPr>
                <w:rFonts w:ascii="Arial" w:hAnsi="Arial" w:cs="Arial"/>
                <w:vertAlign w:val="superscript"/>
              </w:rPr>
              <w:t>th</w:t>
            </w:r>
            <w:r w:rsidRPr="00C27BB3">
              <w:rPr>
                <w:rFonts w:ascii="Arial" w:hAnsi="Arial" w:cs="Arial"/>
              </w:rPr>
              <w:t>, 75</w:t>
            </w:r>
            <w:r w:rsidRPr="00C27BB3">
              <w:rPr>
                <w:rFonts w:ascii="Arial" w:hAnsi="Arial" w:cs="Arial"/>
                <w:vertAlign w:val="superscript"/>
              </w:rPr>
              <w:t>th</w:t>
            </w:r>
            <w:r w:rsidRPr="00C27BB3">
              <w:rPr>
                <w:rFonts w:ascii="Arial" w:hAnsi="Arial" w:cs="Arial"/>
              </w:rPr>
              <w:t xml:space="preserve"> percentile)</w:t>
            </w:r>
          </w:p>
        </w:tc>
        <w:tc>
          <w:tcPr>
            <w:tcW w:w="3685" w:type="dxa"/>
            <w:vAlign w:val="center"/>
          </w:tcPr>
          <w:p w14:paraId="52720FFA" w14:textId="758DA0A3" w:rsidR="00897552" w:rsidRDefault="00275C9C" w:rsidP="00275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meeting</w:t>
            </w:r>
            <w:r w:rsidR="00897552">
              <w:rPr>
                <w:rFonts w:ascii="Arial" w:hAnsi="Arial" w:cs="Arial"/>
              </w:rPr>
              <w:t xml:space="preserve"> target</w:t>
            </w:r>
          </w:p>
        </w:tc>
      </w:tr>
      <w:tr w:rsidR="00897552" w14:paraId="4A108DAF" w14:textId="77777777" w:rsidTr="00C116D3">
        <w:trPr>
          <w:trHeight w:val="347"/>
        </w:trPr>
        <w:tc>
          <w:tcPr>
            <w:tcW w:w="4111" w:type="dxa"/>
          </w:tcPr>
          <w:p w14:paraId="175DEB84" w14:textId="4CC64EF0" w:rsidR="00897552" w:rsidRPr="00275C9C" w:rsidRDefault="00897552" w:rsidP="00275F9F">
            <w:pPr>
              <w:rPr>
                <w:rFonts w:ascii="Arial" w:hAnsi="Arial" w:cs="Arial"/>
              </w:rPr>
            </w:pPr>
            <w:r w:rsidRPr="00275C9C">
              <w:rPr>
                <w:rFonts w:ascii="Arial" w:hAnsi="Arial" w:cs="Arial"/>
              </w:rPr>
              <w:t xml:space="preserve">HbA1c </w:t>
            </w:r>
            <w:r w:rsidR="00275C9C">
              <w:rPr>
                <w:rFonts w:ascii="Arial" w:hAnsi="Arial" w:cs="Arial"/>
              </w:rPr>
              <w:t>&lt;53 mmol/mol</w:t>
            </w:r>
            <w:r w:rsidR="004D6373">
              <w:rPr>
                <w:rFonts w:ascii="Arial" w:hAnsi="Arial" w:cs="Arial"/>
              </w:rPr>
              <w:t>, n=1475</w:t>
            </w:r>
          </w:p>
        </w:tc>
        <w:tc>
          <w:tcPr>
            <w:tcW w:w="3828" w:type="dxa"/>
          </w:tcPr>
          <w:p w14:paraId="0920E3B9" w14:textId="1CFC7FF4" w:rsidR="00897552" w:rsidRDefault="00275C9C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897552" w:rsidRPr="00C27BB3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52</w:t>
            </w:r>
            <w:r w:rsidR="00897552" w:rsidRPr="00C27BB3">
              <w:rPr>
                <w:rFonts w:ascii="Arial" w:hAnsi="Arial" w:cs="Arial"/>
              </w:rPr>
              <w:t xml:space="preserve">, </w:t>
            </w:r>
            <w:r w:rsidR="004D6373">
              <w:rPr>
                <w:rFonts w:ascii="Arial" w:hAnsi="Arial" w:cs="Arial"/>
              </w:rPr>
              <w:t>69</w:t>
            </w:r>
            <w:r w:rsidR="00897552" w:rsidRPr="00C27BB3">
              <w:rPr>
                <w:rFonts w:ascii="Arial" w:hAnsi="Arial" w:cs="Arial"/>
              </w:rPr>
              <w:t>)</w:t>
            </w:r>
          </w:p>
        </w:tc>
        <w:tc>
          <w:tcPr>
            <w:tcW w:w="3685" w:type="dxa"/>
          </w:tcPr>
          <w:p w14:paraId="4DCCEF99" w14:textId="16C70EB8" w:rsidR="00897552" w:rsidRDefault="00037081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26%</w:t>
            </w:r>
          </w:p>
        </w:tc>
      </w:tr>
      <w:tr w:rsidR="00897552" w14:paraId="02B7B004" w14:textId="77777777" w:rsidTr="00C116D3">
        <w:trPr>
          <w:trHeight w:val="347"/>
        </w:trPr>
        <w:tc>
          <w:tcPr>
            <w:tcW w:w="4111" w:type="dxa"/>
          </w:tcPr>
          <w:p w14:paraId="781848E3" w14:textId="1E85ED48" w:rsidR="00897552" w:rsidRPr="00275C9C" w:rsidRDefault="00897552" w:rsidP="00275F9F">
            <w:pPr>
              <w:rPr>
                <w:rFonts w:ascii="Arial" w:hAnsi="Arial" w:cs="Arial"/>
              </w:rPr>
            </w:pPr>
            <w:r w:rsidRPr="00275C9C">
              <w:rPr>
                <w:rFonts w:ascii="Arial" w:hAnsi="Arial" w:cs="Arial"/>
              </w:rPr>
              <w:t>SBP &lt;130 mmHg</w:t>
            </w:r>
            <w:r w:rsidR="004D6373">
              <w:rPr>
                <w:rFonts w:ascii="Arial" w:hAnsi="Arial" w:cs="Arial"/>
              </w:rPr>
              <w:t>, n=1317</w:t>
            </w:r>
          </w:p>
        </w:tc>
        <w:tc>
          <w:tcPr>
            <w:tcW w:w="3828" w:type="dxa"/>
          </w:tcPr>
          <w:p w14:paraId="56B13642" w14:textId="65B1493A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129 (118, 140)</w:t>
            </w:r>
          </w:p>
        </w:tc>
        <w:tc>
          <w:tcPr>
            <w:tcW w:w="3685" w:type="dxa"/>
          </w:tcPr>
          <w:p w14:paraId="677B5D50" w14:textId="7DDFED92" w:rsidR="00897552" w:rsidRDefault="004D6373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037081">
              <w:rPr>
                <w:rFonts w:ascii="Arial" w:hAnsi="Arial" w:cs="Arial"/>
              </w:rPr>
              <w:t>%</w:t>
            </w:r>
          </w:p>
        </w:tc>
      </w:tr>
      <w:tr w:rsidR="00897552" w14:paraId="667B2411" w14:textId="77777777" w:rsidTr="00C116D3">
        <w:trPr>
          <w:trHeight w:val="347"/>
        </w:trPr>
        <w:tc>
          <w:tcPr>
            <w:tcW w:w="4111" w:type="dxa"/>
          </w:tcPr>
          <w:p w14:paraId="5BE836C9" w14:textId="1DE4E247" w:rsidR="00897552" w:rsidRPr="00275C9C" w:rsidRDefault="00897552" w:rsidP="00275F9F">
            <w:pPr>
              <w:rPr>
                <w:rFonts w:ascii="Arial" w:hAnsi="Arial" w:cs="Arial"/>
              </w:rPr>
            </w:pPr>
            <w:r w:rsidRPr="00275C9C">
              <w:rPr>
                <w:rFonts w:ascii="Arial" w:hAnsi="Arial" w:cs="Arial"/>
              </w:rPr>
              <w:t>DBP &lt;80 mmHg</w:t>
            </w:r>
            <w:r w:rsidR="004D6373">
              <w:rPr>
                <w:rFonts w:ascii="Arial" w:hAnsi="Arial" w:cs="Arial"/>
              </w:rPr>
              <w:t>, n=1317</w:t>
            </w:r>
          </w:p>
        </w:tc>
        <w:tc>
          <w:tcPr>
            <w:tcW w:w="3828" w:type="dxa"/>
          </w:tcPr>
          <w:p w14:paraId="768A92BD" w14:textId="754288B5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77 (70, 84</w:t>
            </w:r>
          </w:p>
        </w:tc>
        <w:tc>
          <w:tcPr>
            <w:tcW w:w="3685" w:type="dxa"/>
          </w:tcPr>
          <w:p w14:paraId="3D2C45B6" w14:textId="0B3BEC14" w:rsidR="00897552" w:rsidRDefault="00037081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116D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%</w:t>
            </w:r>
          </w:p>
        </w:tc>
      </w:tr>
      <w:tr w:rsidR="00897552" w14:paraId="78A9263F" w14:textId="77777777" w:rsidTr="00C116D3">
        <w:trPr>
          <w:trHeight w:val="347"/>
        </w:trPr>
        <w:tc>
          <w:tcPr>
            <w:tcW w:w="4111" w:type="dxa"/>
          </w:tcPr>
          <w:p w14:paraId="1D238EEC" w14:textId="7985333E" w:rsidR="00897552" w:rsidRPr="00275C9C" w:rsidRDefault="00897552" w:rsidP="00275F9F">
            <w:pPr>
              <w:rPr>
                <w:rFonts w:ascii="Arial" w:hAnsi="Arial" w:cs="Arial"/>
              </w:rPr>
            </w:pPr>
            <w:proofErr w:type="spellStart"/>
            <w:r w:rsidRPr="00275C9C">
              <w:rPr>
                <w:rFonts w:ascii="Arial" w:hAnsi="Arial" w:cs="Arial"/>
              </w:rPr>
              <w:t>uACR</w:t>
            </w:r>
            <w:proofErr w:type="spellEnd"/>
            <w:r w:rsidRPr="00275C9C">
              <w:rPr>
                <w:rFonts w:ascii="Arial" w:hAnsi="Arial" w:cs="Arial"/>
              </w:rPr>
              <w:t xml:space="preserve"> (&lt;3.5 for F, &lt;2.5 for M)</w:t>
            </w:r>
            <w:r w:rsidR="00C116D3">
              <w:rPr>
                <w:rFonts w:ascii="Arial" w:hAnsi="Arial" w:cs="Arial"/>
              </w:rPr>
              <w:t>, n=1396</w:t>
            </w:r>
          </w:p>
        </w:tc>
        <w:tc>
          <w:tcPr>
            <w:tcW w:w="3828" w:type="dxa"/>
          </w:tcPr>
          <w:p w14:paraId="782EB90A" w14:textId="06C433DA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1 (0.6, 2.3)</w:t>
            </w:r>
          </w:p>
        </w:tc>
        <w:tc>
          <w:tcPr>
            <w:tcW w:w="3685" w:type="dxa"/>
          </w:tcPr>
          <w:p w14:paraId="337DB583" w14:textId="36B1432C" w:rsidR="00897552" w:rsidRDefault="00037081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116D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%</w:t>
            </w:r>
          </w:p>
        </w:tc>
      </w:tr>
      <w:tr w:rsidR="00897552" w14:paraId="0122B511" w14:textId="77777777" w:rsidTr="00C116D3">
        <w:trPr>
          <w:trHeight w:val="338"/>
        </w:trPr>
        <w:tc>
          <w:tcPr>
            <w:tcW w:w="4111" w:type="dxa"/>
          </w:tcPr>
          <w:p w14:paraId="0C2D3FEB" w14:textId="2E4E3EC0" w:rsidR="00897552" w:rsidRPr="00C116D3" w:rsidRDefault="00897552" w:rsidP="00275F9F">
            <w:pPr>
              <w:rPr>
                <w:rFonts w:ascii="Arial" w:hAnsi="Arial" w:cs="Arial"/>
              </w:rPr>
            </w:pPr>
            <w:r w:rsidRPr="00275C9C">
              <w:rPr>
                <w:rFonts w:ascii="Arial" w:hAnsi="Arial" w:cs="Arial"/>
              </w:rPr>
              <w:t>eGFR &gt;60</w:t>
            </w:r>
            <w:r w:rsidR="00CF2644">
              <w:rPr>
                <w:rFonts w:ascii="Arial" w:hAnsi="Arial" w:cs="Arial"/>
              </w:rPr>
              <w:t xml:space="preserve"> </w:t>
            </w:r>
            <w:r w:rsidRPr="00275C9C">
              <w:rPr>
                <w:rFonts w:ascii="Arial" w:hAnsi="Arial" w:cs="Arial"/>
              </w:rPr>
              <w:t>ml/min/1.73m</w:t>
            </w:r>
            <w:r w:rsidRPr="00275C9C">
              <w:rPr>
                <w:rFonts w:ascii="Arial" w:hAnsi="Arial" w:cs="Arial"/>
                <w:vertAlign w:val="superscript"/>
              </w:rPr>
              <w:t>2</w:t>
            </w:r>
            <w:r w:rsidR="00C116D3">
              <w:rPr>
                <w:rFonts w:ascii="Arial" w:hAnsi="Arial" w:cs="Arial"/>
              </w:rPr>
              <w:t>, n=1382</w:t>
            </w:r>
          </w:p>
        </w:tc>
        <w:tc>
          <w:tcPr>
            <w:tcW w:w="3828" w:type="dxa"/>
          </w:tcPr>
          <w:p w14:paraId="3EF9C5C1" w14:textId="4A08B06A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90 (78, 90)</w:t>
            </w:r>
          </w:p>
        </w:tc>
        <w:tc>
          <w:tcPr>
            <w:tcW w:w="3685" w:type="dxa"/>
          </w:tcPr>
          <w:p w14:paraId="0F245D79" w14:textId="2E5D8044" w:rsidR="00897552" w:rsidRDefault="00037081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116D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%</w:t>
            </w:r>
          </w:p>
        </w:tc>
      </w:tr>
      <w:tr w:rsidR="00897552" w14:paraId="05970771" w14:textId="77777777" w:rsidTr="00C116D3">
        <w:trPr>
          <w:trHeight w:val="347"/>
        </w:trPr>
        <w:tc>
          <w:tcPr>
            <w:tcW w:w="4111" w:type="dxa"/>
          </w:tcPr>
          <w:p w14:paraId="3F2E0998" w14:textId="563D7C56" w:rsidR="00897552" w:rsidRPr="00C116D3" w:rsidRDefault="00897552" w:rsidP="00275F9F">
            <w:pPr>
              <w:rPr>
                <w:rFonts w:ascii="Arial" w:hAnsi="Arial" w:cs="Arial"/>
              </w:rPr>
            </w:pPr>
            <w:r w:rsidRPr="00275C9C">
              <w:rPr>
                <w:rFonts w:ascii="Arial" w:hAnsi="Arial" w:cs="Arial"/>
              </w:rPr>
              <w:t>BMI &lt;2</w:t>
            </w:r>
            <w:r w:rsidR="00275C9C" w:rsidRPr="00275C9C">
              <w:rPr>
                <w:rFonts w:ascii="Arial" w:hAnsi="Arial" w:cs="Arial"/>
              </w:rPr>
              <w:t>5</w:t>
            </w:r>
            <w:r w:rsidRPr="00275C9C">
              <w:rPr>
                <w:rFonts w:ascii="Arial" w:hAnsi="Arial" w:cs="Arial"/>
              </w:rPr>
              <w:t xml:space="preserve"> kg/m</w:t>
            </w:r>
            <w:r w:rsidRPr="00275C9C">
              <w:rPr>
                <w:rFonts w:ascii="Arial" w:hAnsi="Arial" w:cs="Arial"/>
                <w:vertAlign w:val="superscript"/>
              </w:rPr>
              <w:t>2</w:t>
            </w:r>
            <w:r w:rsidR="00C116D3">
              <w:rPr>
                <w:rFonts w:ascii="Arial" w:hAnsi="Arial" w:cs="Arial"/>
              </w:rPr>
              <w:t>, n=1288</w:t>
            </w:r>
          </w:p>
        </w:tc>
        <w:tc>
          <w:tcPr>
            <w:tcW w:w="3828" w:type="dxa"/>
          </w:tcPr>
          <w:p w14:paraId="6432EFCC" w14:textId="226C0372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26.6 (23.8, 29.9)</w:t>
            </w:r>
          </w:p>
        </w:tc>
        <w:tc>
          <w:tcPr>
            <w:tcW w:w="3685" w:type="dxa"/>
          </w:tcPr>
          <w:p w14:paraId="11264E50" w14:textId="33C0641F" w:rsidR="00897552" w:rsidRDefault="004D6373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116D3">
              <w:rPr>
                <w:rFonts w:ascii="Arial" w:hAnsi="Arial" w:cs="Arial"/>
              </w:rPr>
              <w:t>4</w:t>
            </w:r>
            <w:r w:rsidR="00037081">
              <w:rPr>
                <w:rFonts w:ascii="Arial" w:hAnsi="Arial" w:cs="Arial"/>
              </w:rPr>
              <w:t>%</w:t>
            </w:r>
          </w:p>
        </w:tc>
      </w:tr>
      <w:tr w:rsidR="00897552" w14:paraId="3C5AD1B2" w14:textId="77777777" w:rsidTr="00C116D3">
        <w:trPr>
          <w:trHeight w:val="351"/>
        </w:trPr>
        <w:tc>
          <w:tcPr>
            <w:tcW w:w="4111" w:type="dxa"/>
          </w:tcPr>
          <w:p w14:paraId="4A0C43CA" w14:textId="5E662F47" w:rsidR="00897552" w:rsidRPr="000F3045" w:rsidRDefault="00897552" w:rsidP="00275F9F">
            <w:pPr>
              <w:rPr>
                <w:rFonts w:ascii="Arial" w:hAnsi="Arial" w:cs="Arial"/>
                <w:lang w:val="it-IT"/>
              </w:rPr>
            </w:pPr>
            <w:r w:rsidRPr="000F3045">
              <w:rPr>
                <w:rFonts w:ascii="Arial" w:hAnsi="Arial" w:cs="Arial"/>
                <w:lang w:val="it-IT"/>
              </w:rPr>
              <w:t xml:space="preserve">LDL-C (&lt;2, </w:t>
            </w:r>
            <w:r w:rsidR="00275C9C" w:rsidRPr="000F3045">
              <w:rPr>
                <w:rFonts w:ascii="Arial" w:hAnsi="Arial" w:cs="Arial"/>
                <w:lang w:val="it-IT"/>
              </w:rPr>
              <w:t xml:space="preserve">&lt;1.7, </w:t>
            </w:r>
            <w:r w:rsidRPr="000F3045">
              <w:rPr>
                <w:rFonts w:ascii="Arial" w:hAnsi="Arial" w:cs="Arial"/>
                <w:lang w:val="it-IT"/>
              </w:rPr>
              <w:t>&lt;1.4</w:t>
            </w:r>
            <w:r w:rsidR="00275C9C" w:rsidRPr="000F3045">
              <w:rPr>
                <w:rFonts w:ascii="Arial" w:hAnsi="Arial" w:cs="Arial"/>
                <w:lang w:val="it-IT"/>
              </w:rPr>
              <w:t xml:space="preserve">) </w:t>
            </w:r>
            <w:r w:rsidRPr="000F3045">
              <w:rPr>
                <w:rFonts w:ascii="Arial" w:hAnsi="Arial" w:cs="Arial"/>
                <w:lang w:val="it-IT"/>
              </w:rPr>
              <w:t>mmol/L</w:t>
            </w:r>
            <w:r w:rsidR="00C116D3" w:rsidRPr="000F3045">
              <w:rPr>
                <w:rFonts w:ascii="Arial" w:hAnsi="Arial" w:cs="Arial"/>
                <w:lang w:val="it-IT"/>
              </w:rPr>
              <w:t>, n=1328</w:t>
            </w:r>
          </w:p>
        </w:tc>
        <w:tc>
          <w:tcPr>
            <w:tcW w:w="3828" w:type="dxa"/>
          </w:tcPr>
          <w:p w14:paraId="53917DB7" w14:textId="60ADB946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2.3 (1.7, 2.9)</w:t>
            </w:r>
          </w:p>
        </w:tc>
        <w:tc>
          <w:tcPr>
            <w:tcW w:w="3685" w:type="dxa"/>
          </w:tcPr>
          <w:p w14:paraId="0F90AD73" w14:textId="408CCA52" w:rsidR="00897552" w:rsidRDefault="00037081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116D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% (&lt;2), </w:t>
            </w:r>
            <w:r w:rsidR="00C116D3">
              <w:rPr>
                <w:rFonts w:ascii="Arial" w:hAnsi="Arial" w:cs="Arial"/>
              </w:rPr>
              <w:t>21</w:t>
            </w:r>
            <w:r w:rsidR="00275C9C">
              <w:rPr>
                <w:rFonts w:ascii="Arial" w:hAnsi="Arial" w:cs="Arial"/>
              </w:rPr>
              <w:t xml:space="preserve">% (&lt;1.7), </w:t>
            </w:r>
            <w:r w:rsidR="00C116D3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% (&lt;1.4)</w:t>
            </w:r>
          </w:p>
        </w:tc>
      </w:tr>
      <w:tr w:rsidR="00897552" w14:paraId="40ECD42B" w14:textId="77777777" w:rsidTr="00C116D3">
        <w:trPr>
          <w:trHeight w:val="347"/>
        </w:trPr>
        <w:tc>
          <w:tcPr>
            <w:tcW w:w="4111" w:type="dxa"/>
          </w:tcPr>
          <w:p w14:paraId="70CE0A42" w14:textId="5000E834" w:rsidR="00897552" w:rsidRPr="000F3045" w:rsidRDefault="00897552" w:rsidP="00275F9F">
            <w:pPr>
              <w:rPr>
                <w:rFonts w:ascii="Arial" w:hAnsi="Arial" w:cs="Arial"/>
                <w:lang w:val="it-IT"/>
              </w:rPr>
            </w:pPr>
            <w:r w:rsidRPr="000F3045">
              <w:rPr>
                <w:rFonts w:ascii="Arial" w:hAnsi="Arial" w:cs="Arial"/>
                <w:lang w:val="it-IT"/>
              </w:rPr>
              <w:t>HDL-C</w:t>
            </w:r>
            <w:r w:rsidR="00CF2644" w:rsidRPr="000F3045">
              <w:rPr>
                <w:rFonts w:ascii="Arial" w:hAnsi="Arial" w:cs="Arial"/>
                <w:lang w:val="it-IT"/>
              </w:rPr>
              <w:t xml:space="preserve"> </w:t>
            </w:r>
            <w:r w:rsidRPr="000F3045">
              <w:rPr>
                <w:rFonts w:ascii="Arial" w:hAnsi="Arial" w:cs="Arial"/>
                <w:lang w:val="it-IT"/>
              </w:rPr>
              <w:t>&gt;1</w:t>
            </w:r>
            <w:r w:rsidR="00CF2644" w:rsidRPr="000F3045">
              <w:rPr>
                <w:rFonts w:ascii="Arial" w:hAnsi="Arial" w:cs="Arial"/>
                <w:lang w:val="it-IT"/>
              </w:rPr>
              <w:t xml:space="preserve"> </w:t>
            </w:r>
            <w:r w:rsidRPr="000F3045">
              <w:rPr>
                <w:rFonts w:ascii="Arial" w:hAnsi="Arial" w:cs="Arial"/>
                <w:lang w:val="it-IT"/>
              </w:rPr>
              <w:t>mmol/L</w:t>
            </w:r>
            <w:r w:rsidR="00AD4604" w:rsidRPr="000F3045">
              <w:rPr>
                <w:rFonts w:ascii="Arial" w:hAnsi="Arial" w:cs="Arial"/>
                <w:lang w:val="it-IT"/>
              </w:rPr>
              <w:t>, n=1382</w:t>
            </w:r>
          </w:p>
        </w:tc>
        <w:tc>
          <w:tcPr>
            <w:tcW w:w="3828" w:type="dxa"/>
          </w:tcPr>
          <w:p w14:paraId="2B6C7BB1" w14:textId="40CD43CB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1.6 (1.3, 2.0)</w:t>
            </w:r>
          </w:p>
        </w:tc>
        <w:tc>
          <w:tcPr>
            <w:tcW w:w="3685" w:type="dxa"/>
          </w:tcPr>
          <w:p w14:paraId="7BD1F68F" w14:textId="6E98F237" w:rsidR="00897552" w:rsidRDefault="00AD4604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  <w:r w:rsidR="00037081">
              <w:rPr>
                <w:rFonts w:ascii="Arial" w:hAnsi="Arial" w:cs="Arial"/>
              </w:rPr>
              <w:t>%</w:t>
            </w:r>
          </w:p>
        </w:tc>
      </w:tr>
      <w:tr w:rsidR="00897552" w14:paraId="088D1FEB" w14:textId="77777777" w:rsidTr="00C116D3">
        <w:trPr>
          <w:trHeight w:val="347"/>
        </w:trPr>
        <w:tc>
          <w:tcPr>
            <w:tcW w:w="4111" w:type="dxa"/>
          </w:tcPr>
          <w:p w14:paraId="7A069C32" w14:textId="6455B401" w:rsidR="00897552" w:rsidRPr="00275C9C" w:rsidRDefault="00897552" w:rsidP="00275F9F">
            <w:pPr>
              <w:rPr>
                <w:rFonts w:ascii="Arial" w:hAnsi="Arial" w:cs="Arial"/>
              </w:rPr>
            </w:pPr>
            <w:r w:rsidRPr="00275C9C">
              <w:rPr>
                <w:rFonts w:ascii="Arial" w:hAnsi="Arial" w:cs="Arial"/>
              </w:rPr>
              <w:t>TG</w:t>
            </w:r>
            <w:r w:rsidR="00CF2644">
              <w:rPr>
                <w:rFonts w:ascii="Arial" w:hAnsi="Arial" w:cs="Arial"/>
              </w:rPr>
              <w:t xml:space="preserve"> </w:t>
            </w:r>
            <w:r w:rsidRPr="00275C9C">
              <w:rPr>
                <w:rFonts w:ascii="Arial" w:hAnsi="Arial" w:cs="Arial"/>
              </w:rPr>
              <w:t>&lt;2 mmol/L</w:t>
            </w:r>
            <w:r w:rsidR="00AD4604">
              <w:rPr>
                <w:rFonts w:ascii="Arial" w:hAnsi="Arial" w:cs="Arial"/>
              </w:rPr>
              <w:t>, n=1421</w:t>
            </w:r>
          </w:p>
        </w:tc>
        <w:tc>
          <w:tcPr>
            <w:tcW w:w="3828" w:type="dxa"/>
          </w:tcPr>
          <w:p w14:paraId="6AA318FB" w14:textId="0B21B3DF" w:rsidR="00897552" w:rsidRDefault="00897552" w:rsidP="00913719">
            <w:pPr>
              <w:jc w:val="center"/>
              <w:rPr>
                <w:rFonts w:ascii="Arial" w:hAnsi="Arial" w:cs="Arial"/>
              </w:rPr>
            </w:pPr>
            <w:r w:rsidRPr="00C27BB3">
              <w:rPr>
                <w:rFonts w:ascii="Arial" w:hAnsi="Arial" w:cs="Arial"/>
              </w:rPr>
              <w:t>1.1 (0.8, 1.5)</w:t>
            </w:r>
          </w:p>
        </w:tc>
        <w:tc>
          <w:tcPr>
            <w:tcW w:w="3685" w:type="dxa"/>
          </w:tcPr>
          <w:p w14:paraId="0E0247E7" w14:textId="368CD94D" w:rsidR="00897552" w:rsidRDefault="00037081" w:rsidP="00913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D460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%</w:t>
            </w:r>
          </w:p>
        </w:tc>
      </w:tr>
    </w:tbl>
    <w:p w14:paraId="21E70746" w14:textId="77777777" w:rsidR="004D1783" w:rsidRDefault="004D1783" w:rsidP="00275F9F">
      <w:pPr>
        <w:rPr>
          <w:rFonts w:ascii="Arial" w:hAnsi="Arial" w:cs="Arial"/>
        </w:rPr>
      </w:pPr>
    </w:p>
    <w:p w14:paraId="790E0E91" w14:textId="4A568388" w:rsidR="00BF738D" w:rsidRDefault="00913719" w:rsidP="00BF738D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Risk factor </w:t>
      </w:r>
      <w:r w:rsidR="002143B7">
        <w:rPr>
          <w:rFonts w:ascii="Arial" w:hAnsi="Arial" w:cs="Arial"/>
          <w:lang w:val="en-AU"/>
        </w:rPr>
        <w:t>control</w:t>
      </w:r>
      <w:r>
        <w:rPr>
          <w:rFonts w:ascii="Arial" w:hAnsi="Arial" w:cs="Arial"/>
          <w:lang w:val="en-AU"/>
        </w:rPr>
        <w:t xml:space="preserve"> </w:t>
      </w:r>
      <w:r w:rsidR="00BF738D" w:rsidRPr="00445151">
        <w:rPr>
          <w:rFonts w:ascii="Arial" w:hAnsi="Arial" w:cs="Arial"/>
          <w:lang w:val="en-AU"/>
        </w:rPr>
        <w:t xml:space="preserve">and </w:t>
      </w:r>
      <w:r w:rsidR="003E3523">
        <w:rPr>
          <w:rFonts w:ascii="Arial" w:hAnsi="Arial" w:cs="Arial"/>
          <w:lang w:val="en-AU"/>
        </w:rPr>
        <w:t xml:space="preserve">target </w:t>
      </w:r>
      <w:r w:rsidR="00BF738D" w:rsidRPr="00445151">
        <w:rPr>
          <w:rFonts w:ascii="Arial" w:hAnsi="Arial" w:cs="Arial"/>
          <w:lang w:val="en-AU"/>
        </w:rPr>
        <w:t xml:space="preserve">attainment decreased </w:t>
      </w:r>
      <w:r>
        <w:rPr>
          <w:rFonts w:ascii="Arial" w:hAnsi="Arial" w:cs="Arial"/>
          <w:lang w:val="en-AU"/>
        </w:rPr>
        <w:t>by age</w:t>
      </w:r>
      <w:r w:rsidR="003E3523">
        <w:rPr>
          <w:rFonts w:ascii="Arial" w:hAnsi="Arial" w:cs="Arial"/>
          <w:lang w:val="en-AU"/>
        </w:rPr>
        <w:t xml:space="preserve"> and were lower in males. T</w:t>
      </w:r>
      <w:r>
        <w:rPr>
          <w:rFonts w:ascii="Arial" w:hAnsi="Arial" w:cs="Arial"/>
          <w:lang w:val="en-AU"/>
        </w:rPr>
        <w:t>echnology users and those with</w:t>
      </w:r>
      <w:r w:rsidR="003E3523">
        <w:rPr>
          <w:rFonts w:ascii="Arial" w:hAnsi="Arial" w:cs="Arial"/>
          <w:lang w:val="en-AU"/>
        </w:rPr>
        <w:t xml:space="preserve">out </w:t>
      </w:r>
      <w:r>
        <w:rPr>
          <w:rFonts w:ascii="Arial" w:hAnsi="Arial" w:cs="Arial"/>
          <w:lang w:val="en-AU"/>
        </w:rPr>
        <w:t>chronic complications</w:t>
      </w:r>
      <w:r w:rsidR="003E3523">
        <w:rPr>
          <w:rFonts w:ascii="Arial" w:hAnsi="Arial" w:cs="Arial"/>
          <w:lang w:val="en-AU"/>
        </w:rPr>
        <w:t xml:space="preserve"> had better results.</w:t>
      </w:r>
      <w:r>
        <w:rPr>
          <w:rFonts w:ascii="Arial" w:hAnsi="Arial" w:cs="Arial"/>
          <w:lang w:val="en-AU"/>
        </w:rPr>
        <w:t xml:space="preserve"> Lipid and BP drugs were used by </w:t>
      </w:r>
      <w:r w:rsidR="00BF738D" w:rsidRPr="00C27BB3">
        <w:rPr>
          <w:rFonts w:ascii="Arial" w:hAnsi="Arial" w:cs="Arial"/>
          <w:lang w:val="en-AU"/>
        </w:rPr>
        <w:t xml:space="preserve">44% </w:t>
      </w:r>
      <w:r w:rsidR="00BF738D">
        <w:rPr>
          <w:rFonts w:ascii="Arial" w:hAnsi="Arial" w:cs="Arial"/>
          <w:lang w:val="en-AU"/>
        </w:rPr>
        <w:t>and 36</w:t>
      </w:r>
      <w:r w:rsidR="00BF738D" w:rsidRPr="00275C9C">
        <w:rPr>
          <w:rFonts w:ascii="Arial" w:hAnsi="Arial" w:cs="Arial"/>
          <w:lang w:val="en-AU"/>
        </w:rPr>
        <w:t>%</w:t>
      </w:r>
      <w:r w:rsidR="003E3523" w:rsidRPr="00275C9C">
        <w:rPr>
          <w:rFonts w:ascii="Arial" w:hAnsi="Arial" w:cs="Arial"/>
          <w:lang w:val="en-AU"/>
        </w:rPr>
        <w:t xml:space="preserve">. The median (IQR) number of targets met was </w:t>
      </w:r>
      <w:r w:rsidR="00275C9C" w:rsidRPr="00275C9C">
        <w:rPr>
          <w:rFonts w:ascii="Arial" w:hAnsi="Arial" w:cs="Arial"/>
          <w:lang w:val="en-AU"/>
        </w:rPr>
        <w:t>6</w:t>
      </w:r>
      <w:r w:rsidR="00275C9C">
        <w:rPr>
          <w:rFonts w:ascii="Arial" w:hAnsi="Arial" w:cs="Arial"/>
          <w:lang w:val="en-AU"/>
        </w:rPr>
        <w:t xml:space="preserve"> (2).</w:t>
      </w:r>
      <w:r w:rsidR="003E3523">
        <w:rPr>
          <w:rFonts w:ascii="Arial" w:hAnsi="Arial" w:cs="Arial"/>
          <w:lang w:val="en-AU"/>
        </w:rPr>
        <w:t xml:space="preserve"> </w:t>
      </w:r>
    </w:p>
    <w:p w14:paraId="036FF4C6" w14:textId="77777777" w:rsidR="00BF738D" w:rsidRDefault="00BF738D" w:rsidP="00275F9F">
      <w:pPr>
        <w:rPr>
          <w:rFonts w:ascii="Arial" w:hAnsi="Arial" w:cs="Arial"/>
        </w:rPr>
      </w:pPr>
    </w:p>
    <w:p w14:paraId="4BB5A569" w14:textId="77777777" w:rsidR="00BF738D" w:rsidRPr="007672CA" w:rsidRDefault="00BF738D" w:rsidP="00BF738D">
      <w:pPr>
        <w:rPr>
          <w:rFonts w:ascii="Arial" w:hAnsi="Arial" w:cs="Arial"/>
          <w:b/>
          <w:bCs/>
        </w:rPr>
      </w:pPr>
      <w:r w:rsidRPr="007672CA">
        <w:rPr>
          <w:rFonts w:ascii="Arial" w:hAnsi="Arial" w:cs="Arial"/>
          <w:b/>
          <w:bCs/>
        </w:rPr>
        <w:t xml:space="preserve">Conclusions: </w:t>
      </w:r>
    </w:p>
    <w:p w14:paraId="12977D79" w14:textId="601A1AEC" w:rsidR="00BF738D" w:rsidRPr="00C27BB3" w:rsidRDefault="00BF738D" w:rsidP="00BF738D">
      <w:pPr>
        <w:rPr>
          <w:rFonts w:ascii="Arial" w:hAnsi="Arial" w:cs="Arial"/>
        </w:rPr>
      </w:pPr>
      <w:r w:rsidRPr="00C27BB3">
        <w:rPr>
          <w:rFonts w:ascii="Arial" w:hAnsi="Arial" w:cs="Arial"/>
        </w:rPr>
        <w:t>Traditional risk factor</w:t>
      </w:r>
      <w:r w:rsidR="003E3523">
        <w:rPr>
          <w:rFonts w:ascii="Arial" w:hAnsi="Arial" w:cs="Arial"/>
        </w:rPr>
        <w:t xml:space="preserve"> </w:t>
      </w:r>
      <w:r w:rsidRPr="00C27BB3">
        <w:rPr>
          <w:rFonts w:ascii="Arial" w:hAnsi="Arial" w:cs="Arial"/>
        </w:rPr>
        <w:t xml:space="preserve">control was suboptimal in adults with T1D. </w:t>
      </w:r>
      <w:r>
        <w:rPr>
          <w:rFonts w:ascii="Arial" w:hAnsi="Arial" w:cs="Arial"/>
        </w:rPr>
        <w:t xml:space="preserve">A better understanding of why and improving care are merited. </w:t>
      </w:r>
      <w:r w:rsidRPr="00C27BB3">
        <w:rPr>
          <w:rFonts w:ascii="Arial" w:hAnsi="Arial" w:cs="Arial"/>
        </w:rPr>
        <w:t xml:space="preserve"> </w:t>
      </w:r>
    </w:p>
    <w:p w14:paraId="0DBF3EE1" w14:textId="77777777" w:rsidR="00275F9F" w:rsidRPr="00275F9F" w:rsidRDefault="00275F9F" w:rsidP="008427FA">
      <w:pPr>
        <w:rPr>
          <w:rFonts w:ascii="Arial" w:hAnsi="Arial" w:cs="Arial"/>
        </w:rPr>
      </w:pPr>
    </w:p>
    <w:p w14:paraId="22A97A63" w14:textId="77777777" w:rsidR="008427FA" w:rsidRPr="00275F9F" w:rsidRDefault="008427FA" w:rsidP="008427FA">
      <w:pPr>
        <w:rPr>
          <w:rFonts w:ascii="Arial" w:hAnsi="Arial" w:cs="Arial"/>
        </w:rPr>
      </w:pPr>
    </w:p>
    <w:p w14:paraId="5AC8EF12" w14:textId="77777777" w:rsidR="008427FA" w:rsidRPr="00275F9F" w:rsidRDefault="008427FA" w:rsidP="008427FA">
      <w:pPr>
        <w:rPr>
          <w:rFonts w:ascii="Arial" w:hAnsi="Arial" w:cs="Arial"/>
        </w:rPr>
      </w:pPr>
    </w:p>
    <w:p w14:paraId="69886DD6" w14:textId="77777777" w:rsidR="008427FA" w:rsidRPr="00275F9F" w:rsidRDefault="008427FA" w:rsidP="008427FA">
      <w:pPr>
        <w:rPr>
          <w:rFonts w:ascii="Arial" w:hAnsi="Arial" w:cs="Arial"/>
        </w:rPr>
      </w:pPr>
    </w:p>
    <w:p w14:paraId="31EAA4F4" w14:textId="77777777" w:rsidR="008427FA" w:rsidRPr="00275F9F" w:rsidRDefault="008427FA" w:rsidP="008427FA">
      <w:pPr>
        <w:rPr>
          <w:rFonts w:ascii="Arial" w:hAnsi="Arial" w:cs="Arial"/>
        </w:rPr>
      </w:pPr>
    </w:p>
    <w:p w14:paraId="11C6E1EF" w14:textId="77777777" w:rsidR="008427FA" w:rsidRPr="00275F9F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096C"/>
    <w:rsid w:val="00037081"/>
    <w:rsid w:val="000F3045"/>
    <w:rsid w:val="00181F9A"/>
    <w:rsid w:val="001A744A"/>
    <w:rsid w:val="001F1F37"/>
    <w:rsid w:val="002143B7"/>
    <w:rsid w:val="00275C9C"/>
    <w:rsid w:val="00275F9F"/>
    <w:rsid w:val="0028124D"/>
    <w:rsid w:val="00326309"/>
    <w:rsid w:val="003362C4"/>
    <w:rsid w:val="00341E83"/>
    <w:rsid w:val="00374756"/>
    <w:rsid w:val="00376B39"/>
    <w:rsid w:val="003B7B24"/>
    <w:rsid w:val="003E3523"/>
    <w:rsid w:val="00421F17"/>
    <w:rsid w:val="00445151"/>
    <w:rsid w:val="004860B7"/>
    <w:rsid w:val="004916A7"/>
    <w:rsid w:val="004A4F32"/>
    <w:rsid w:val="004D1783"/>
    <w:rsid w:val="004D6373"/>
    <w:rsid w:val="004E09DD"/>
    <w:rsid w:val="004E7808"/>
    <w:rsid w:val="00501092"/>
    <w:rsid w:val="005540F3"/>
    <w:rsid w:val="00613BA1"/>
    <w:rsid w:val="007244F0"/>
    <w:rsid w:val="007672CA"/>
    <w:rsid w:val="007D7554"/>
    <w:rsid w:val="007E4BBA"/>
    <w:rsid w:val="007F0577"/>
    <w:rsid w:val="007F2812"/>
    <w:rsid w:val="00830A4D"/>
    <w:rsid w:val="008427FA"/>
    <w:rsid w:val="008953CF"/>
    <w:rsid w:val="00897552"/>
    <w:rsid w:val="00913719"/>
    <w:rsid w:val="00921B91"/>
    <w:rsid w:val="009431C2"/>
    <w:rsid w:val="00950786"/>
    <w:rsid w:val="009A582D"/>
    <w:rsid w:val="009C6440"/>
    <w:rsid w:val="009D79DB"/>
    <w:rsid w:val="00A34843"/>
    <w:rsid w:val="00A41F55"/>
    <w:rsid w:val="00A4515A"/>
    <w:rsid w:val="00A85759"/>
    <w:rsid w:val="00AA320F"/>
    <w:rsid w:val="00AD4604"/>
    <w:rsid w:val="00AE4C95"/>
    <w:rsid w:val="00AF7664"/>
    <w:rsid w:val="00B105CD"/>
    <w:rsid w:val="00BC73E4"/>
    <w:rsid w:val="00BF738D"/>
    <w:rsid w:val="00C116D3"/>
    <w:rsid w:val="00C27BB3"/>
    <w:rsid w:val="00C464BC"/>
    <w:rsid w:val="00C7259E"/>
    <w:rsid w:val="00C82C5E"/>
    <w:rsid w:val="00C94544"/>
    <w:rsid w:val="00CB0537"/>
    <w:rsid w:val="00CB40A6"/>
    <w:rsid w:val="00CE68D2"/>
    <w:rsid w:val="00CF2644"/>
    <w:rsid w:val="00D51FC5"/>
    <w:rsid w:val="00D56368"/>
    <w:rsid w:val="00DD0D64"/>
    <w:rsid w:val="00E52937"/>
    <w:rsid w:val="00E53E13"/>
    <w:rsid w:val="00E65E73"/>
    <w:rsid w:val="00F1099C"/>
    <w:rsid w:val="00F5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82C5E"/>
  </w:style>
  <w:style w:type="character" w:styleId="CommentReference">
    <w:name w:val="annotation reference"/>
    <w:basedOn w:val="DefaultParagraphFont"/>
    <w:uiPriority w:val="99"/>
    <w:semiHidden/>
    <w:unhideWhenUsed/>
    <w:rsid w:val="00C82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C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C5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64110-B07E-4014-BE45-44BEF79F8B3D}"/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2026-03-17T01:53:00Z</dcterms:created>
  <dcterms:modified xsi:type="dcterms:W3CDTF">2026-03-17T01:54:00Z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