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738C5062" w:rsidR="00C8423A" w:rsidRPr="002F0B0F" w:rsidRDefault="002F0B0F" w:rsidP="00706DED">
            <w:pPr>
              <w:jc w:val="both"/>
              <w:rPr>
                <w:rFonts w:ascii="Arial" w:hAnsi="Arial" w:cs="Arial"/>
                <w:bCs/>
                <w:i/>
                <w:iCs/>
                <w:sz w:val="22"/>
                <w:szCs w:val="22"/>
              </w:rPr>
            </w:pPr>
            <w:r w:rsidRPr="002F0B0F">
              <w:rPr>
                <w:rFonts w:ascii="Arial" w:hAnsi="Arial" w:cs="Arial"/>
                <w:bCs/>
                <w:i/>
                <w:iCs/>
                <w:sz w:val="22"/>
                <w:szCs w:val="22"/>
              </w:rPr>
              <w:t xml:space="preserve">Paper </w:t>
            </w:r>
          </w:p>
          <w:p w14:paraId="78DF9870" w14:textId="77777777" w:rsidR="00A22189" w:rsidRPr="00A22189" w:rsidRDefault="00A22189" w:rsidP="00A22189">
            <w:pPr>
              <w:jc w:val="both"/>
              <w:rPr>
                <w:rFonts w:ascii="Arial" w:hAnsi="Arial" w:cs="Arial"/>
                <w:b/>
                <w:bCs/>
                <w:sz w:val="22"/>
                <w:szCs w:val="22"/>
                <w:lang w:val="en-US"/>
              </w:rPr>
            </w:pPr>
            <w:r w:rsidRPr="00A22189">
              <w:rPr>
                <w:rFonts w:ascii="Arial" w:hAnsi="Arial" w:cs="Arial"/>
                <w:b/>
                <w:bCs/>
                <w:sz w:val="22"/>
                <w:szCs w:val="22"/>
                <w:lang w:val="en-US"/>
              </w:rPr>
              <w:t>Colonial legacies on adaptive capacity to climate change: insights from relocation in New Caledonia (South Pacific)</w:t>
            </w:r>
          </w:p>
          <w:p w14:paraId="3F7D1534" w14:textId="77777777" w:rsidR="00C8423A" w:rsidRPr="00A22189" w:rsidRDefault="00C8423A" w:rsidP="00A22189">
            <w:pPr>
              <w:jc w:val="both"/>
              <w:rPr>
                <w:rFonts w:ascii="Arial" w:hAnsi="Arial" w:cs="Arial"/>
                <w:b/>
                <w:bCs/>
                <w:sz w:val="22"/>
                <w:szCs w:val="22"/>
                <w:lang w:val="en-US"/>
              </w:rPr>
            </w:pPr>
          </w:p>
        </w:tc>
      </w:tr>
      <w:tr w:rsidR="00C8423A" w:rsidRPr="0003525D" w14:paraId="1A1C8C63" w14:textId="77777777" w:rsidTr="009F4EA0">
        <w:trPr>
          <w:trHeight w:val="3124"/>
        </w:trPr>
        <w:tc>
          <w:tcPr>
            <w:tcW w:w="8640" w:type="dxa"/>
          </w:tcPr>
          <w:p w14:paraId="76377D17" w14:textId="0C72A16C" w:rsidR="0076232C" w:rsidRPr="0076232C" w:rsidRDefault="0076232C" w:rsidP="0056493B">
            <w:pPr>
              <w:autoSpaceDE w:val="0"/>
              <w:autoSpaceDN w:val="0"/>
              <w:adjustRightInd w:val="0"/>
              <w:rPr>
                <w:rFonts w:ascii="Arial" w:hAnsi="Arial" w:cs="Arial"/>
                <w:color w:val="000000"/>
                <w:sz w:val="22"/>
                <w:szCs w:val="22"/>
                <w:lang w:val="en-GB"/>
              </w:rPr>
            </w:pPr>
          </w:p>
          <w:p w14:paraId="6C2F96B6" w14:textId="77777777" w:rsidR="0076232C" w:rsidRDefault="0076232C" w:rsidP="0056493B">
            <w:pPr>
              <w:autoSpaceDE w:val="0"/>
              <w:autoSpaceDN w:val="0"/>
              <w:adjustRightInd w:val="0"/>
              <w:rPr>
                <w:rFonts w:ascii="Arial" w:hAnsi="Arial" w:cs="Arial"/>
                <w:b/>
                <w:bCs/>
                <w:color w:val="000000"/>
                <w:sz w:val="22"/>
                <w:szCs w:val="22"/>
                <w:lang w:val="en-GB"/>
              </w:rPr>
            </w:pPr>
          </w:p>
          <w:p w14:paraId="38584444" w14:textId="12919616" w:rsidR="0056493B" w:rsidRDefault="0056493B" w:rsidP="0056493B">
            <w:pPr>
              <w:autoSpaceDE w:val="0"/>
              <w:autoSpaceDN w:val="0"/>
              <w:adjustRightInd w:val="0"/>
              <w:rPr>
                <w:rFonts w:ascii="Arial" w:hAnsi="Arial" w:cs="Arial"/>
                <w:b/>
                <w:bCs/>
                <w:color w:val="000000"/>
                <w:sz w:val="22"/>
                <w:szCs w:val="22"/>
                <w:lang w:val="en-GB"/>
              </w:rPr>
            </w:pPr>
            <w:r>
              <w:rPr>
                <w:rFonts w:ascii="Arial" w:hAnsi="Arial" w:cs="Arial"/>
                <w:b/>
                <w:bCs/>
                <w:color w:val="000000"/>
                <w:sz w:val="22"/>
                <w:szCs w:val="22"/>
                <w:lang w:val="en-GB"/>
              </w:rPr>
              <w:t>Introduction</w:t>
            </w:r>
          </w:p>
          <w:p w14:paraId="455A0420" w14:textId="77777777" w:rsidR="00A22189" w:rsidRDefault="00A22189" w:rsidP="00A22189">
            <w:pPr>
              <w:pStyle w:val="BodyA"/>
              <w:spacing w:after="0" w:line="240" w:lineRule="auto"/>
              <w:jc w:val="both"/>
              <w:rPr>
                <w:rFonts w:ascii="Arial" w:eastAsia="Arial" w:hAnsi="Arial" w:cs="Arial"/>
              </w:rPr>
            </w:pPr>
            <w:r>
              <w:rPr>
                <w:rFonts w:ascii="Arial" w:hAnsi="Arial"/>
              </w:rPr>
              <w:t xml:space="preserve">In the face of </w:t>
            </w:r>
            <w:r w:rsidRPr="00264FD2">
              <w:rPr>
                <w:rFonts w:ascii="Arial" w:hAnsi="Arial"/>
              </w:rPr>
              <w:t xml:space="preserve">already observed climate impacts (marine </w:t>
            </w:r>
            <w:r>
              <w:rPr>
                <w:rFonts w:ascii="Arial" w:hAnsi="Arial"/>
              </w:rPr>
              <w:t>flooding</w:t>
            </w:r>
            <w:r w:rsidRPr="00264FD2">
              <w:rPr>
                <w:rFonts w:ascii="Arial" w:hAnsi="Arial"/>
              </w:rPr>
              <w:t xml:space="preserve"> and</w:t>
            </w:r>
            <w:r>
              <w:rPr>
                <w:rFonts w:ascii="Arial" w:hAnsi="Arial"/>
              </w:rPr>
              <w:t xml:space="preserve"> coastal erosion</w:t>
            </w:r>
            <w:r w:rsidRPr="00264FD2">
              <w:rPr>
                <w:rFonts w:ascii="Arial" w:hAnsi="Arial"/>
              </w:rPr>
              <w:t>)</w:t>
            </w:r>
            <w:r>
              <w:rPr>
                <w:rFonts w:ascii="Arial" w:hAnsi="Arial"/>
              </w:rPr>
              <w:t xml:space="preserve"> and </w:t>
            </w:r>
            <w:r w:rsidRPr="00264FD2">
              <w:rPr>
                <w:rFonts w:ascii="Arial" w:hAnsi="Arial"/>
              </w:rPr>
              <w:t>future</w:t>
            </w:r>
            <w:r>
              <w:rPr>
                <w:rFonts w:ascii="Arial" w:hAnsi="Arial"/>
              </w:rPr>
              <w:t xml:space="preserve"> risks, Indigenous </w:t>
            </w:r>
            <w:r w:rsidRPr="00264FD2">
              <w:rPr>
                <w:rFonts w:ascii="Arial" w:hAnsi="Arial"/>
              </w:rPr>
              <w:t xml:space="preserve">Kanak </w:t>
            </w:r>
            <w:r>
              <w:rPr>
                <w:rFonts w:ascii="Arial" w:hAnsi="Arial"/>
              </w:rPr>
              <w:t xml:space="preserve">communities of the east coast </w:t>
            </w:r>
            <w:r w:rsidRPr="00264FD2">
              <w:rPr>
                <w:rFonts w:ascii="Arial" w:hAnsi="Arial"/>
              </w:rPr>
              <w:t>of</w:t>
            </w:r>
            <w:r>
              <w:rPr>
                <w:rFonts w:ascii="Arial" w:hAnsi="Arial"/>
              </w:rPr>
              <w:t xml:space="preserve"> New Caledonia, a French overseas territory in the Pacific, are relocating or plan to relocate in safer areas. Past and current relocation cases </w:t>
            </w:r>
            <w:r w:rsidRPr="00264FD2">
              <w:rPr>
                <w:rFonts w:ascii="Arial" w:hAnsi="Arial"/>
              </w:rPr>
              <w:t>highlight</w:t>
            </w:r>
            <w:r>
              <w:rPr>
                <w:rFonts w:ascii="Arial" w:hAnsi="Arial"/>
              </w:rPr>
              <w:t xml:space="preserve"> two </w:t>
            </w:r>
            <w:r w:rsidRPr="00264FD2">
              <w:rPr>
                <w:rFonts w:ascii="Arial" w:hAnsi="Arial"/>
              </w:rPr>
              <w:t>important drivers of success</w:t>
            </w:r>
            <w:r>
              <w:rPr>
                <w:rFonts w:ascii="Arial" w:hAnsi="Arial"/>
              </w:rPr>
              <w:t xml:space="preserve">: customary land availability and financial assistance from the French State. </w:t>
            </w:r>
            <w:r w:rsidRPr="00264FD2">
              <w:rPr>
                <w:rFonts w:ascii="Arial" w:hAnsi="Arial"/>
              </w:rPr>
              <w:t>Meeting these two drivers however</w:t>
            </w:r>
            <w:r>
              <w:rPr>
                <w:rFonts w:ascii="Arial" w:hAnsi="Arial"/>
              </w:rPr>
              <w:t xml:space="preserve"> raise</w:t>
            </w:r>
            <w:r w:rsidRPr="00264FD2">
              <w:rPr>
                <w:rFonts w:ascii="Arial" w:hAnsi="Arial"/>
              </w:rPr>
              <w:t>s</w:t>
            </w:r>
            <w:r>
              <w:rPr>
                <w:rFonts w:ascii="Arial" w:hAnsi="Arial"/>
              </w:rPr>
              <w:t xml:space="preserve"> questions for future relocation projects </w:t>
            </w:r>
            <w:r w:rsidRPr="00264FD2">
              <w:rPr>
                <w:rFonts w:ascii="Arial" w:hAnsi="Arial"/>
              </w:rPr>
              <w:t xml:space="preserve">due to a current </w:t>
            </w:r>
            <w:r>
              <w:rPr>
                <w:rFonts w:ascii="Arial" w:hAnsi="Arial"/>
              </w:rPr>
              <w:t xml:space="preserve">context of land pressure and conflicts, </w:t>
            </w:r>
            <w:r w:rsidRPr="00264FD2">
              <w:rPr>
                <w:rFonts w:ascii="Arial" w:hAnsi="Arial"/>
              </w:rPr>
              <w:t>combined with</w:t>
            </w:r>
            <w:r>
              <w:rPr>
                <w:rFonts w:ascii="Arial" w:hAnsi="Arial"/>
              </w:rPr>
              <w:t xml:space="preserve"> uncertainties surrounding </w:t>
            </w:r>
            <w:r w:rsidRPr="00264FD2">
              <w:rPr>
                <w:rFonts w:ascii="Arial" w:hAnsi="Arial"/>
              </w:rPr>
              <w:t xml:space="preserve">the </w:t>
            </w:r>
            <w:r>
              <w:rPr>
                <w:rFonts w:ascii="Arial" w:hAnsi="Arial"/>
              </w:rPr>
              <w:t xml:space="preserve">political and economic </w:t>
            </w:r>
            <w:r w:rsidRPr="00264FD2">
              <w:rPr>
                <w:rFonts w:ascii="Arial" w:hAnsi="Arial"/>
              </w:rPr>
              <w:t>stability today</w:t>
            </w:r>
            <w:r>
              <w:rPr>
                <w:rFonts w:ascii="Arial" w:hAnsi="Arial"/>
              </w:rPr>
              <w:t xml:space="preserve">. </w:t>
            </w:r>
            <w:r w:rsidRPr="00264FD2">
              <w:rPr>
                <w:rFonts w:ascii="Arial" w:hAnsi="Arial"/>
              </w:rPr>
              <w:t>At a deeper level</w:t>
            </w:r>
            <w:r>
              <w:rPr>
                <w:rFonts w:ascii="Arial" w:hAnsi="Arial"/>
              </w:rPr>
              <w:t>, th</w:t>
            </w:r>
            <w:r w:rsidRPr="00264FD2">
              <w:rPr>
                <w:rFonts w:ascii="Arial" w:hAnsi="Arial"/>
              </w:rPr>
              <w:t xml:space="preserve">e problem is rooted in </w:t>
            </w:r>
            <w:r>
              <w:rPr>
                <w:rFonts w:ascii="Arial" w:hAnsi="Arial"/>
              </w:rPr>
              <w:t>colonial legacies and induced power relations</w:t>
            </w:r>
            <w:r w:rsidRPr="00264FD2">
              <w:rPr>
                <w:rFonts w:ascii="Arial" w:hAnsi="Arial"/>
              </w:rPr>
              <w:t>, which</w:t>
            </w:r>
            <w:r>
              <w:rPr>
                <w:rFonts w:ascii="Arial" w:hAnsi="Arial"/>
              </w:rPr>
              <w:t xml:space="preserve"> constrain Kanak relocation capacities. One cannot overcome those barriers without taking account of </w:t>
            </w:r>
            <w:r w:rsidRPr="00264FD2">
              <w:rPr>
                <w:rFonts w:ascii="Arial" w:hAnsi="Arial"/>
              </w:rPr>
              <w:t xml:space="preserve">historically-rooted </w:t>
            </w:r>
            <w:r>
              <w:rPr>
                <w:rFonts w:ascii="Arial" w:hAnsi="Arial"/>
              </w:rPr>
              <w:t xml:space="preserve">power relations and interdependencies between </w:t>
            </w:r>
            <w:r w:rsidRPr="00264FD2">
              <w:rPr>
                <w:rFonts w:ascii="Arial" w:hAnsi="Arial"/>
              </w:rPr>
              <w:t>scales</w:t>
            </w:r>
            <w:r>
              <w:rPr>
                <w:rFonts w:ascii="Arial" w:hAnsi="Arial"/>
              </w:rPr>
              <w:t xml:space="preserve"> and communities. </w:t>
            </w:r>
          </w:p>
          <w:p w14:paraId="01CE288D" w14:textId="77777777" w:rsidR="0056493B" w:rsidRPr="00A22189" w:rsidRDefault="0056493B" w:rsidP="0056493B">
            <w:pPr>
              <w:autoSpaceDE w:val="0"/>
              <w:autoSpaceDN w:val="0"/>
              <w:adjustRightInd w:val="0"/>
              <w:jc w:val="both"/>
              <w:rPr>
                <w:rFonts w:ascii="Arial" w:hAnsi="Arial" w:cs="Arial"/>
                <w:color w:val="000000"/>
                <w:sz w:val="22"/>
                <w:szCs w:val="22"/>
                <w:lang w:val="en-US"/>
              </w:rPr>
            </w:pPr>
          </w:p>
          <w:p w14:paraId="5CF65BF3" w14:textId="77777777" w:rsidR="0056493B" w:rsidRDefault="0056493B" w:rsidP="0056493B">
            <w:pPr>
              <w:autoSpaceDE w:val="0"/>
              <w:autoSpaceDN w:val="0"/>
              <w:adjustRightInd w:val="0"/>
              <w:rPr>
                <w:rFonts w:ascii="Arial" w:hAnsi="Arial" w:cs="Arial"/>
                <w:b/>
                <w:bCs/>
                <w:color w:val="000000"/>
                <w:sz w:val="22"/>
                <w:szCs w:val="22"/>
                <w:lang w:val="en-GB"/>
              </w:rPr>
            </w:pPr>
            <w:r>
              <w:rPr>
                <w:rFonts w:ascii="Arial" w:hAnsi="Arial" w:cs="Arial"/>
                <w:b/>
                <w:bCs/>
                <w:color w:val="000000"/>
                <w:sz w:val="22"/>
                <w:szCs w:val="22"/>
                <w:lang w:val="en-GB"/>
              </w:rPr>
              <w:t>Objectives</w:t>
            </w:r>
          </w:p>
          <w:p w14:paraId="5B94D0AF" w14:textId="77777777" w:rsidR="00A22189" w:rsidRPr="00A22189" w:rsidRDefault="00A22189" w:rsidP="00A22189">
            <w:pPr>
              <w:autoSpaceDE w:val="0"/>
              <w:autoSpaceDN w:val="0"/>
              <w:adjustRightInd w:val="0"/>
              <w:jc w:val="both"/>
              <w:rPr>
                <w:rFonts w:ascii="Arial" w:hAnsi="Arial" w:cs="Arial"/>
                <w:color w:val="000000"/>
                <w:sz w:val="22"/>
                <w:szCs w:val="22"/>
                <w:lang w:val="en-US"/>
              </w:rPr>
            </w:pPr>
            <w:r w:rsidRPr="00A22189">
              <w:rPr>
                <w:rFonts w:ascii="Arial" w:hAnsi="Arial" w:cs="Arial"/>
                <w:color w:val="000000"/>
                <w:sz w:val="22"/>
                <w:szCs w:val="22"/>
                <w:lang w:val="en-US"/>
              </w:rPr>
              <w:t xml:space="preserve">We build on fieldwork material collected in New Caledonia between 2024 and 2025 to address two major questions: </w:t>
            </w:r>
          </w:p>
          <w:p w14:paraId="7716B864" w14:textId="77777777" w:rsidR="00A22189" w:rsidRPr="00A22189" w:rsidRDefault="00A22189" w:rsidP="00A22189">
            <w:pPr>
              <w:numPr>
                <w:ilvl w:val="0"/>
                <w:numId w:val="6"/>
              </w:numPr>
              <w:autoSpaceDE w:val="0"/>
              <w:autoSpaceDN w:val="0"/>
              <w:adjustRightInd w:val="0"/>
              <w:jc w:val="both"/>
              <w:rPr>
                <w:rFonts w:ascii="Arial" w:hAnsi="Arial" w:cs="Arial"/>
                <w:color w:val="000000"/>
                <w:sz w:val="22"/>
                <w:szCs w:val="22"/>
                <w:lang w:val="en-US"/>
              </w:rPr>
            </w:pPr>
            <w:r w:rsidRPr="00A22189">
              <w:rPr>
                <w:rFonts w:ascii="Arial" w:hAnsi="Arial" w:cs="Arial"/>
                <w:color w:val="000000"/>
                <w:sz w:val="22"/>
                <w:szCs w:val="22"/>
                <w:lang w:val="en-US"/>
              </w:rPr>
              <w:t xml:space="preserve">How do scales interplay to allow for locally-led adaptation today, and in light of past experiences? Answering this question requires to understand how to define the “community” (1) in the Kanak socio-cultural </w:t>
            </w:r>
            <w:proofErr w:type="spellStart"/>
            <w:r w:rsidRPr="00A22189">
              <w:rPr>
                <w:rFonts w:ascii="Arial" w:hAnsi="Arial" w:cs="Arial"/>
                <w:color w:val="000000"/>
                <w:sz w:val="22"/>
                <w:szCs w:val="22"/>
                <w:lang w:val="en-US"/>
              </w:rPr>
              <w:t>organisation</w:t>
            </w:r>
            <w:proofErr w:type="spellEnd"/>
            <w:r w:rsidRPr="00A22189">
              <w:rPr>
                <w:rFonts w:ascii="Arial" w:hAnsi="Arial" w:cs="Arial"/>
                <w:color w:val="000000"/>
                <w:sz w:val="22"/>
                <w:szCs w:val="22"/>
                <w:lang w:val="en-US"/>
              </w:rPr>
              <w:t xml:space="preserve">, who are the key stakeholders beyond local “community”, and how </w:t>
            </w:r>
            <w:r w:rsidRPr="00A22189">
              <w:rPr>
                <w:rFonts w:ascii="Arial" w:hAnsi="Arial" w:cs="Arial"/>
                <w:i/>
                <w:iCs/>
                <w:color w:val="000000"/>
                <w:sz w:val="22"/>
                <w:szCs w:val="22"/>
                <w:lang w:val="en-US"/>
              </w:rPr>
              <w:t>solidarity</w:t>
            </w:r>
            <w:r w:rsidRPr="00A22189">
              <w:rPr>
                <w:rFonts w:ascii="Arial" w:hAnsi="Arial" w:cs="Arial"/>
                <w:color w:val="000000"/>
                <w:sz w:val="22"/>
                <w:szCs w:val="22"/>
                <w:lang w:val="en-US"/>
              </w:rPr>
              <w:t xml:space="preserve"> across scales is </w:t>
            </w:r>
            <w:proofErr w:type="spellStart"/>
            <w:r w:rsidRPr="00A22189">
              <w:rPr>
                <w:rFonts w:ascii="Arial" w:hAnsi="Arial" w:cs="Arial"/>
                <w:color w:val="000000"/>
                <w:sz w:val="22"/>
                <w:szCs w:val="22"/>
                <w:lang w:val="en-US"/>
              </w:rPr>
              <w:t>mobilised</w:t>
            </w:r>
            <w:proofErr w:type="spellEnd"/>
            <w:r w:rsidRPr="00A22189">
              <w:rPr>
                <w:rFonts w:ascii="Arial" w:hAnsi="Arial" w:cs="Arial"/>
                <w:color w:val="000000"/>
                <w:sz w:val="22"/>
                <w:szCs w:val="22"/>
                <w:lang w:val="en-US"/>
              </w:rPr>
              <w:t>.</w:t>
            </w:r>
          </w:p>
          <w:p w14:paraId="3DACC6F8" w14:textId="77777777" w:rsidR="00A22189" w:rsidRPr="00A22189" w:rsidRDefault="00A22189" w:rsidP="00A22189">
            <w:pPr>
              <w:numPr>
                <w:ilvl w:val="0"/>
                <w:numId w:val="6"/>
              </w:numPr>
              <w:autoSpaceDE w:val="0"/>
              <w:autoSpaceDN w:val="0"/>
              <w:adjustRightInd w:val="0"/>
              <w:jc w:val="both"/>
              <w:rPr>
                <w:rFonts w:ascii="Arial" w:hAnsi="Arial" w:cs="Arial"/>
                <w:color w:val="000000"/>
                <w:sz w:val="22"/>
                <w:szCs w:val="22"/>
                <w:lang w:val="en-US"/>
              </w:rPr>
            </w:pPr>
            <w:r w:rsidRPr="00A22189">
              <w:rPr>
                <w:rFonts w:ascii="Arial" w:hAnsi="Arial" w:cs="Arial"/>
                <w:color w:val="000000"/>
                <w:sz w:val="22"/>
                <w:szCs w:val="22"/>
                <w:lang w:val="en-US"/>
              </w:rPr>
              <w:t xml:space="preserve">What are the implications on future relocation capacities for Kanak communities?  </w:t>
            </w:r>
          </w:p>
          <w:p w14:paraId="0F807084" w14:textId="77777777" w:rsidR="0056493B" w:rsidRPr="00A22189" w:rsidRDefault="0056493B" w:rsidP="0056493B">
            <w:pPr>
              <w:autoSpaceDE w:val="0"/>
              <w:autoSpaceDN w:val="0"/>
              <w:adjustRightInd w:val="0"/>
              <w:rPr>
                <w:rFonts w:ascii="Arial" w:hAnsi="Arial" w:cs="Arial"/>
                <w:color w:val="000000"/>
                <w:sz w:val="22"/>
                <w:szCs w:val="22"/>
                <w:lang w:val="en-US"/>
              </w:rPr>
            </w:pPr>
          </w:p>
          <w:p w14:paraId="4D69395D" w14:textId="77777777" w:rsidR="0056493B" w:rsidRDefault="0056493B" w:rsidP="0056493B">
            <w:pPr>
              <w:autoSpaceDE w:val="0"/>
              <w:autoSpaceDN w:val="0"/>
              <w:adjustRightInd w:val="0"/>
              <w:rPr>
                <w:rFonts w:ascii="Arial" w:hAnsi="Arial" w:cs="Arial"/>
                <w:b/>
                <w:bCs/>
                <w:color w:val="000000"/>
                <w:sz w:val="22"/>
                <w:szCs w:val="22"/>
                <w:lang w:val="en-GB"/>
              </w:rPr>
            </w:pPr>
            <w:r>
              <w:rPr>
                <w:rFonts w:ascii="Arial" w:hAnsi="Arial" w:cs="Arial"/>
                <w:b/>
                <w:bCs/>
                <w:color w:val="000000"/>
                <w:sz w:val="22"/>
                <w:szCs w:val="22"/>
                <w:lang w:val="en-GB"/>
              </w:rPr>
              <w:t>Methods</w:t>
            </w:r>
          </w:p>
          <w:p w14:paraId="3BD4F795" w14:textId="77777777" w:rsidR="00A22189" w:rsidRDefault="00A22189" w:rsidP="00A22189">
            <w:pPr>
              <w:pStyle w:val="BodyA"/>
              <w:spacing w:after="0" w:line="240" w:lineRule="auto"/>
              <w:jc w:val="both"/>
              <w:rPr>
                <w:rFonts w:ascii="Arial" w:eastAsia="Arial" w:hAnsi="Arial" w:cs="Arial"/>
              </w:rPr>
            </w:pPr>
            <w:r>
              <w:rPr>
                <w:rFonts w:ascii="Arial" w:hAnsi="Arial"/>
              </w:rPr>
              <w:t>We use qualitative methods encompassing the analysis of historical, anthropological and legal documents in order to understand historical dynamics, as well as discursive elements from 35 semi-structured interviews with members of the Kanak communit</w:t>
            </w:r>
            <w:r w:rsidRPr="00264FD2">
              <w:rPr>
                <w:rFonts w:ascii="Arial" w:hAnsi="Arial"/>
              </w:rPr>
              <w:t xml:space="preserve">ies of the </w:t>
            </w:r>
            <w:proofErr w:type="spellStart"/>
            <w:r>
              <w:rPr>
                <w:rFonts w:ascii="Arial" w:hAnsi="Arial"/>
              </w:rPr>
              <w:t>Touho</w:t>
            </w:r>
            <w:proofErr w:type="spellEnd"/>
            <w:r>
              <w:rPr>
                <w:rFonts w:ascii="Arial" w:hAnsi="Arial"/>
              </w:rPr>
              <w:t xml:space="preserve"> and </w:t>
            </w:r>
            <w:proofErr w:type="spellStart"/>
            <w:r>
              <w:rPr>
                <w:rFonts w:ascii="Arial" w:hAnsi="Arial"/>
              </w:rPr>
              <w:t>Ponérihouen</w:t>
            </w:r>
            <w:proofErr w:type="spellEnd"/>
            <w:r w:rsidRPr="00264FD2">
              <w:rPr>
                <w:rFonts w:ascii="Arial" w:hAnsi="Arial"/>
              </w:rPr>
              <w:t xml:space="preserve"> municipalities, </w:t>
            </w:r>
            <w:r>
              <w:rPr>
                <w:rFonts w:ascii="Arial" w:hAnsi="Arial"/>
              </w:rPr>
              <w:t>Kanak institutions</w:t>
            </w:r>
            <w:r w:rsidRPr="00264FD2">
              <w:rPr>
                <w:rFonts w:ascii="Arial" w:hAnsi="Arial"/>
              </w:rPr>
              <w:t xml:space="preserve"> and </w:t>
            </w:r>
            <w:r>
              <w:rPr>
                <w:rFonts w:ascii="Arial" w:hAnsi="Arial"/>
              </w:rPr>
              <w:t xml:space="preserve">institutional stakeholders. </w:t>
            </w:r>
          </w:p>
          <w:p w14:paraId="5C454A76" w14:textId="77777777" w:rsidR="0056493B" w:rsidRPr="00A22189" w:rsidRDefault="0056493B" w:rsidP="0056493B">
            <w:pPr>
              <w:autoSpaceDE w:val="0"/>
              <w:autoSpaceDN w:val="0"/>
              <w:adjustRightInd w:val="0"/>
              <w:rPr>
                <w:rFonts w:ascii="Arial" w:hAnsi="Arial" w:cs="Arial"/>
                <w:color w:val="000000"/>
                <w:sz w:val="22"/>
                <w:szCs w:val="22"/>
                <w:lang w:val="en-US"/>
              </w:rPr>
            </w:pPr>
          </w:p>
          <w:p w14:paraId="69468022" w14:textId="77777777" w:rsidR="0056493B" w:rsidRDefault="0056493B" w:rsidP="0056493B">
            <w:pPr>
              <w:autoSpaceDE w:val="0"/>
              <w:autoSpaceDN w:val="0"/>
              <w:adjustRightInd w:val="0"/>
              <w:rPr>
                <w:rFonts w:ascii="Arial" w:hAnsi="Arial" w:cs="Arial"/>
                <w:b/>
                <w:bCs/>
                <w:color w:val="000000"/>
                <w:sz w:val="22"/>
                <w:szCs w:val="22"/>
                <w:lang w:val="en-GB"/>
              </w:rPr>
            </w:pPr>
            <w:r>
              <w:rPr>
                <w:rFonts w:ascii="Arial" w:hAnsi="Arial" w:cs="Arial"/>
                <w:b/>
                <w:bCs/>
                <w:color w:val="000000"/>
                <w:sz w:val="22"/>
                <w:szCs w:val="22"/>
                <w:lang w:val="en-GB"/>
              </w:rPr>
              <w:t>Findings</w:t>
            </w:r>
          </w:p>
          <w:p w14:paraId="202F7916" w14:textId="77777777" w:rsidR="00A22189" w:rsidRPr="00A22189" w:rsidRDefault="00A22189" w:rsidP="00A22189">
            <w:pPr>
              <w:autoSpaceDE w:val="0"/>
              <w:autoSpaceDN w:val="0"/>
              <w:adjustRightInd w:val="0"/>
              <w:jc w:val="both"/>
              <w:rPr>
                <w:rFonts w:ascii="Arial" w:hAnsi="Arial" w:cs="Arial"/>
                <w:color w:val="000000"/>
                <w:sz w:val="22"/>
                <w:szCs w:val="22"/>
                <w:lang w:val="en-US"/>
              </w:rPr>
            </w:pPr>
            <w:r w:rsidRPr="00A22189">
              <w:rPr>
                <w:rFonts w:ascii="Arial" w:hAnsi="Arial" w:cs="Arial"/>
                <w:color w:val="000000"/>
                <w:sz w:val="22"/>
                <w:szCs w:val="22"/>
                <w:lang w:val="en-US"/>
              </w:rPr>
              <w:t xml:space="preserve">The results highlight three </w:t>
            </w:r>
            <w:r w:rsidRPr="00A22189">
              <w:rPr>
                <w:rFonts w:ascii="Arial" w:hAnsi="Arial" w:cs="Arial"/>
                <w:i/>
                <w:iCs/>
                <w:color w:val="000000"/>
                <w:sz w:val="22"/>
                <w:szCs w:val="22"/>
                <w:lang w:val="en-US"/>
              </w:rPr>
              <w:t>relational</w:t>
            </w:r>
            <w:r w:rsidRPr="00A22189">
              <w:rPr>
                <w:rFonts w:ascii="Arial" w:hAnsi="Arial" w:cs="Arial"/>
                <w:color w:val="000000"/>
                <w:sz w:val="22"/>
                <w:szCs w:val="22"/>
                <w:lang w:val="en-US"/>
              </w:rPr>
              <w:t xml:space="preserve"> dimensions of relocation in a formerly </w:t>
            </w:r>
            <w:proofErr w:type="spellStart"/>
            <w:r w:rsidRPr="00A22189">
              <w:rPr>
                <w:rFonts w:ascii="Arial" w:hAnsi="Arial" w:cs="Arial"/>
                <w:color w:val="000000"/>
                <w:sz w:val="22"/>
                <w:szCs w:val="22"/>
                <w:lang w:val="en-US"/>
              </w:rPr>
              <w:t>colonised</w:t>
            </w:r>
            <w:proofErr w:type="spellEnd"/>
            <w:r w:rsidRPr="00A22189">
              <w:rPr>
                <w:rFonts w:ascii="Arial" w:hAnsi="Arial" w:cs="Arial"/>
                <w:color w:val="000000"/>
                <w:sz w:val="22"/>
                <w:szCs w:val="22"/>
                <w:lang w:val="en-US"/>
              </w:rPr>
              <w:t xml:space="preserve"> territory:</w:t>
            </w:r>
          </w:p>
          <w:p w14:paraId="5845118A" w14:textId="77777777" w:rsidR="00A22189" w:rsidRPr="00A22189" w:rsidRDefault="00A22189" w:rsidP="00A22189">
            <w:pPr>
              <w:numPr>
                <w:ilvl w:val="0"/>
                <w:numId w:val="8"/>
              </w:numPr>
              <w:autoSpaceDE w:val="0"/>
              <w:autoSpaceDN w:val="0"/>
              <w:adjustRightInd w:val="0"/>
              <w:jc w:val="both"/>
              <w:rPr>
                <w:rFonts w:ascii="Arial" w:hAnsi="Arial" w:cs="Arial"/>
                <w:color w:val="000000"/>
                <w:sz w:val="22"/>
                <w:szCs w:val="22"/>
                <w:lang w:val="en-US"/>
              </w:rPr>
            </w:pPr>
            <w:r w:rsidRPr="00A22189">
              <w:rPr>
                <w:rFonts w:ascii="Arial" w:hAnsi="Arial" w:cs="Arial"/>
                <w:b/>
                <w:bCs/>
                <w:color w:val="000000"/>
                <w:sz w:val="22"/>
                <w:szCs w:val="22"/>
                <w:lang w:val="en-US"/>
              </w:rPr>
              <w:t>Observed relocation cases</w:t>
            </w:r>
            <w:r w:rsidRPr="00A22189">
              <w:rPr>
                <w:rFonts w:ascii="Arial" w:hAnsi="Arial" w:cs="Arial"/>
                <w:color w:val="000000"/>
                <w:sz w:val="22"/>
                <w:szCs w:val="22"/>
                <w:lang w:val="en-US"/>
              </w:rPr>
              <w:t xml:space="preserve"> demonstrate that</w:t>
            </w:r>
            <w:r w:rsidRPr="00A22189">
              <w:rPr>
                <w:rFonts w:ascii="Arial" w:hAnsi="Arial" w:cs="Arial"/>
                <w:b/>
                <w:bCs/>
                <w:i/>
                <w:iCs/>
                <w:color w:val="000000"/>
                <w:sz w:val="22"/>
                <w:szCs w:val="22"/>
                <w:lang w:val="en-US"/>
              </w:rPr>
              <w:t xml:space="preserve"> </w:t>
            </w:r>
            <w:r w:rsidRPr="00A22189">
              <w:rPr>
                <w:rFonts w:ascii="Arial" w:hAnsi="Arial" w:cs="Arial"/>
                <w:color w:val="000000"/>
                <w:sz w:val="22"/>
                <w:szCs w:val="22"/>
                <w:lang w:val="en-US"/>
              </w:rPr>
              <w:t xml:space="preserve">colonial policies have created economies of dependence tending to concentrate power and means, including finance, in the hands of external (2) and/or at the national-level stakeholders. These cases reveal that external financial assistance and the availability of customary land are both necessary for ensuring successful relocation.  </w:t>
            </w:r>
          </w:p>
          <w:p w14:paraId="6CBEBF16" w14:textId="77777777" w:rsidR="00A22189" w:rsidRPr="00A22189" w:rsidRDefault="00A22189" w:rsidP="00A22189">
            <w:pPr>
              <w:numPr>
                <w:ilvl w:val="0"/>
                <w:numId w:val="8"/>
              </w:numPr>
              <w:autoSpaceDE w:val="0"/>
              <w:autoSpaceDN w:val="0"/>
              <w:adjustRightInd w:val="0"/>
              <w:jc w:val="both"/>
              <w:rPr>
                <w:rFonts w:ascii="Arial" w:hAnsi="Arial" w:cs="Arial"/>
                <w:color w:val="000000"/>
                <w:sz w:val="22"/>
                <w:szCs w:val="22"/>
                <w:lang w:val="en-US"/>
              </w:rPr>
            </w:pPr>
            <w:r w:rsidRPr="00A22189">
              <w:rPr>
                <w:rFonts w:ascii="Arial" w:hAnsi="Arial" w:cs="Arial"/>
                <w:b/>
                <w:bCs/>
                <w:color w:val="000000"/>
                <w:sz w:val="22"/>
                <w:szCs w:val="22"/>
                <w:lang w:val="en-US"/>
              </w:rPr>
              <w:t>The challenges today</w:t>
            </w:r>
            <w:r w:rsidRPr="00A22189">
              <w:rPr>
                <w:rFonts w:ascii="Arial" w:hAnsi="Arial" w:cs="Arial"/>
                <w:color w:val="000000"/>
                <w:sz w:val="22"/>
                <w:szCs w:val="22"/>
                <w:lang w:val="en-US"/>
              </w:rPr>
              <w:t xml:space="preserve"> are related to the interrelationships between people, communities and localities. Because of the specific land tenure system inherited from </w:t>
            </w:r>
            <w:proofErr w:type="spellStart"/>
            <w:r w:rsidRPr="00A22189">
              <w:rPr>
                <w:rFonts w:ascii="Arial" w:hAnsi="Arial" w:cs="Arial"/>
                <w:color w:val="000000"/>
                <w:sz w:val="22"/>
                <w:szCs w:val="22"/>
                <w:lang w:val="en-US"/>
              </w:rPr>
              <w:t>colonisation</w:t>
            </w:r>
            <w:proofErr w:type="spellEnd"/>
            <w:r w:rsidRPr="00A22189">
              <w:rPr>
                <w:rFonts w:ascii="Arial" w:hAnsi="Arial" w:cs="Arial"/>
                <w:color w:val="000000"/>
                <w:sz w:val="22"/>
                <w:szCs w:val="22"/>
                <w:lang w:val="en-US"/>
              </w:rPr>
              <w:t xml:space="preserve">, the ability of local communities to relocate strongly depends on solidarity between scales and across communities. This communication will detail those interrelations and dynamics to show that today’s relocation capacity of some </w:t>
            </w:r>
            <w:r w:rsidRPr="00A22189">
              <w:rPr>
                <w:rFonts w:ascii="Arial" w:hAnsi="Arial" w:cs="Arial"/>
                <w:color w:val="000000"/>
                <w:sz w:val="22"/>
                <w:szCs w:val="22"/>
                <w:lang w:val="en-US"/>
              </w:rPr>
              <w:lastRenderedPageBreak/>
              <w:t xml:space="preserve">Indigenous communities depends on the will of </w:t>
            </w:r>
            <w:proofErr w:type="spellStart"/>
            <w:r w:rsidRPr="00A22189">
              <w:rPr>
                <w:rFonts w:ascii="Arial" w:hAnsi="Arial" w:cs="Arial"/>
                <w:color w:val="000000"/>
                <w:sz w:val="22"/>
                <w:szCs w:val="22"/>
                <w:lang w:val="en-US"/>
              </w:rPr>
              <w:t>neighbouring</w:t>
            </w:r>
            <w:proofErr w:type="spellEnd"/>
            <w:r w:rsidRPr="00A22189">
              <w:rPr>
                <w:rFonts w:ascii="Arial" w:hAnsi="Arial" w:cs="Arial"/>
                <w:color w:val="000000"/>
                <w:sz w:val="22"/>
                <w:szCs w:val="22"/>
                <w:lang w:val="en-US"/>
              </w:rPr>
              <w:t xml:space="preserve"> ones to cede or grant their own lands. </w:t>
            </w:r>
          </w:p>
          <w:p w14:paraId="6CB594AB" w14:textId="77777777" w:rsidR="00A22189" w:rsidRPr="00A22189" w:rsidRDefault="00A22189" w:rsidP="00A22189">
            <w:pPr>
              <w:numPr>
                <w:ilvl w:val="0"/>
                <w:numId w:val="8"/>
              </w:numPr>
              <w:autoSpaceDE w:val="0"/>
              <w:autoSpaceDN w:val="0"/>
              <w:adjustRightInd w:val="0"/>
              <w:jc w:val="both"/>
              <w:rPr>
                <w:rFonts w:ascii="Arial" w:hAnsi="Arial" w:cs="Arial"/>
                <w:color w:val="000000"/>
                <w:sz w:val="22"/>
                <w:szCs w:val="22"/>
                <w:lang w:val="en-US"/>
              </w:rPr>
            </w:pPr>
            <w:r w:rsidRPr="00A22189">
              <w:rPr>
                <w:rFonts w:ascii="Arial" w:hAnsi="Arial" w:cs="Arial"/>
                <w:b/>
                <w:bCs/>
                <w:color w:val="000000"/>
                <w:sz w:val="22"/>
                <w:szCs w:val="22"/>
                <w:lang w:val="en-US"/>
              </w:rPr>
              <w:t>Regarding</w:t>
            </w:r>
            <w:r w:rsidRPr="00A22189">
              <w:rPr>
                <w:rFonts w:ascii="Arial" w:hAnsi="Arial" w:cs="Arial"/>
                <w:color w:val="000000"/>
                <w:sz w:val="22"/>
                <w:szCs w:val="22"/>
                <w:lang w:val="en-US"/>
              </w:rPr>
              <w:t xml:space="preserve"> </w:t>
            </w:r>
            <w:r w:rsidRPr="00A22189">
              <w:rPr>
                <w:rFonts w:ascii="Arial" w:hAnsi="Arial" w:cs="Arial"/>
                <w:b/>
                <w:bCs/>
                <w:color w:val="000000"/>
                <w:sz w:val="22"/>
                <w:szCs w:val="22"/>
                <w:lang w:val="en-US"/>
              </w:rPr>
              <w:t>challenges ahead</w:t>
            </w:r>
            <w:r w:rsidRPr="00A22189">
              <w:rPr>
                <w:rFonts w:ascii="Arial" w:hAnsi="Arial" w:cs="Arial"/>
                <w:color w:val="000000"/>
                <w:sz w:val="22"/>
                <w:szCs w:val="22"/>
                <w:lang w:val="en-US"/>
              </w:rPr>
              <w:t>, our analysis shows that understanding how colonial legacies affect “contextual equity” (3) is key to determine the capacity of Kanak communities to undertake new relocation projects. Based on this, this communication will propose some ways forward to overcome those barriers.</w:t>
            </w:r>
          </w:p>
          <w:p w14:paraId="539B42B7" w14:textId="77777777" w:rsidR="0056493B" w:rsidRPr="00A22189" w:rsidRDefault="0056493B" w:rsidP="0056493B">
            <w:pPr>
              <w:autoSpaceDE w:val="0"/>
              <w:autoSpaceDN w:val="0"/>
              <w:adjustRightInd w:val="0"/>
              <w:rPr>
                <w:rFonts w:ascii="Arial" w:hAnsi="Arial" w:cs="Arial"/>
                <w:b/>
                <w:bCs/>
                <w:color w:val="000000"/>
                <w:sz w:val="22"/>
                <w:szCs w:val="22"/>
                <w:lang w:val="en-US"/>
              </w:rPr>
            </w:pPr>
          </w:p>
          <w:p w14:paraId="065B5321" w14:textId="77777777" w:rsidR="0056493B" w:rsidRDefault="0056493B" w:rsidP="0056493B">
            <w:pPr>
              <w:autoSpaceDE w:val="0"/>
              <w:autoSpaceDN w:val="0"/>
              <w:adjustRightInd w:val="0"/>
              <w:rPr>
                <w:rFonts w:ascii="Arial" w:hAnsi="Arial" w:cs="Arial"/>
                <w:b/>
                <w:bCs/>
                <w:color w:val="000000"/>
                <w:sz w:val="22"/>
                <w:szCs w:val="22"/>
                <w:lang w:val="en-GB"/>
              </w:rPr>
            </w:pPr>
            <w:r>
              <w:rPr>
                <w:rFonts w:ascii="Arial" w:hAnsi="Arial" w:cs="Arial"/>
                <w:b/>
                <w:bCs/>
                <w:color w:val="000000"/>
                <w:sz w:val="22"/>
                <w:szCs w:val="22"/>
                <w:lang w:val="en-GB"/>
              </w:rPr>
              <w:t>Implications for science, policy and practice</w:t>
            </w:r>
          </w:p>
          <w:p w14:paraId="613927E0" w14:textId="77777777" w:rsidR="00A22189" w:rsidRDefault="00A22189" w:rsidP="00A22189">
            <w:pPr>
              <w:pStyle w:val="BodyA"/>
              <w:spacing w:after="0" w:line="240" w:lineRule="auto"/>
              <w:jc w:val="both"/>
              <w:rPr>
                <w:rFonts w:ascii="Arial" w:eastAsia="Arial" w:hAnsi="Arial" w:cs="Arial"/>
              </w:rPr>
            </w:pPr>
            <w:r>
              <w:rPr>
                <w:rFonts w:ascii="Arial" w:hAnsi="Arial"/>
              </w:rPr>
              <w:t>The relocation</w:t>
            </w:r>
            <w:r w:rsidRPr="00264FD2">
              <w:rPr>
                <w:rFonts w:ascii="Arial" w:hAnsi="Arial"/>
              </w:rPr>
              <w:t xml:space="preserve"> </w:t>
            </w:r>
            <w:r>
              <w:rPr>
                <w:rFonts w:ascii="Arial" w:hAnsi="Arial"/>
              </w:rPr>
              <w:t xml:space="preserve">capacity is </w:t>
            </w:r>
            <w:r>
              <w:rPr>
                <w:rFonts w:ascii="Arial" w:hAnsi="Arial"/>
                <w:i/>
                <w:iCs/>
              </w:rPr>
              <w:t xml:space="preserve">relational </w:t>
            </w:r>
            <w:r>
              <w:rPr>
                <w:rFonts w:ascii="Arial" w:hAnsi="Arial"/>
              </w:rPr>
              <w:t>by nature, calling for solidarity-driven negotiation within and between local communities</w:t>
            </w:r>
            <w:r w:rsidRPr="00264FD2">
              <w:rPr>
                <w:rFonts w:ascii="Arial" w:hAnsi="Arial"/>
              </w:rPr>
              <w:t>,</w:t>
            </w:r>
            <w:r>
              <w:rPr>
                <w:rFonts w:ascii="Arial" w:hAnsi="Arial"/>
              </w:rPr>
              <w:t xml:space="preserve"> and across scales, </w:t>
            </w:r>
            <w:r w:rsidRPr="00264FD2">
              <w:rPr>
                <w:rFonts w:ascii="Arial" w:hAnsi="Arial"/>
              </w:rPr>
              <w:t xml:space="preserve">to </w:t>
            </w:r>
            <w:r>
              <w:rPr>
                <w:rFonts w:ascii="Arial" w:hAnsi="Arial"/>
              </w:rPr>
              <w:t>integrat</w:t>
            </w:r>
            <w:r w:rsidRPr="00264FD2">
              <w:rPr>
                <w:rFonts w:ascii="Arial" w:hAnsi="Arial"/>
              </w:rPr>
              <w:t>e</w:t>
            </w:r>
            <w:r>
              <w:rPr>
                <w:rFonts w:ascii="Arial" w:hAnsi="Arial"/>
              </w:rPr>
              <w:t xml:space="preserve"> bottom-up and top-down approaches (4)</w:t>
            </w:r>
            <w:r w:rsidRPr="00264FD2">
              <w:rPr>
                <w:rFonts w:ascii="Arial" w:hAnsi="Arial"/>
              </w:rPr>
              <w:t xml:space="preserve"> and</w:t>
            </w:r>
            <w:r>
              <w:rPr>
                <w:rFonts w:ascii="Arial" w:hAnsi="Arial"/>
              </w:rPr>
              <w:t xml:space="preserve"> </w:t>
            </w:r>
            <w:proofErr w:type="spellStart"/>
            <w:r w:rsidRPr="00264FD2">
              <w:rPr>
                <w:rFonts w:ascii="Arial" w:hAnsi="Arial"/>
              </w:rPr>
              <w:t>minimise</w:t>
            </w:r>
            <w:proofErr w:type="spellEnd"/>
            <w:r>
              <w:rPr>
                <w:rFonts w:ascii="Arial" w:hAnsi="Arial"/>
              </w:rPr>
              <w:t xml:space="preserve"> conflicts. Our hypothesis is that under these conditions, climate-related relocation could help overcome inherited path-dependencies and be a vehicle for long-term climate change adaptation. </w:t>
            </w:r>
          </w:p>
          <w:p w14:paraId="09662CBD" w14:textId="77777777" w:rsidR="0056493B" w:rsidRPr="00A22189" w:rsidRDefault="0056493B" w:rsidP="0056493B">
            <w:pPr>
              <w:jc w:val="both"/>
              <w:rPr>
                <w:rFonts w:ascii="Arial" w:hAnsi="Arial" w:cs="Arial"/>
                <w:color w:val="000000"/>
                <w:sz w:val="22"/>
                <w:szCs w:val="22"/>
                <w:lang w:val="en-US"/>
              </w:rPr>
            </w:pPr>
          </w:p>
          <w:p w14:paraId="173BAB76" w14:textId="45DC4502" w:rsidR="0056493B" w:rsidRDefault="0056493B" w:rsidP="0056493B">
            <w:pPr>
              <w:autoSpaceDE w:val="0"/>
              <w:autoSpaceDN w:val="0"/>
              <w:adjustRightInd w:val="0"/>
              <w:jc w:val="both"/>
              <w:rPr>
                <w:rFonts w:ascii="Arial" w:hAnsi="Arial" w:cs="Arial"/>
                <w:color w:val="000000"/>
                <w:sz w:val="22"/>
                <w:szCs w:val="22"/>
                <w:lang w:val="en-GB"/>
              </w:rPr>
            </w:pPr>
            <w:r>
              <w:rPr>
                <w:rFonts w:ascii="Arial" w:hAnsi="Arial" w:cs="Arial"/>
                <w:b/>
                <w:bCs/>
                <w:color w:val="000000"/>
                <w:sz w:val="22"/>
                <w:szCs w:val="22"/>
                <w:lang w:val="en-GB"/>
              </w:rPr>
              <w:t>Figure 1.</w:t>
            </w:r>
            <w:r>
              <w:rPr>
                <w:rFonts w:ascii="Arial" w:hAnsi="Arial" w:cs="Arial"/>
                <w:color w:val="000000"/>
                <w:sz w:val="22"/>
                <w:szCs w:val="22"/>
                <w:lang w:val="en-GB"/>
              </w:rPr>
              <w:t xml:space="preserve"> </w:t>
            </w:r>
            <w:r w:rsidR="008A4E0B">
              <w:rPr>
                <w:rFonts w:ascii="Arial" w:hAnsi="Arial" w:cs="Arial"/>
                <w:color w:val="000000"/>
                <w:sz w:val="22"/>
                <w:szCs w:val="22"/>
                <w:lang w:val="en-GB"/>
              </w:rPr>
              <w:t>Displaced</w:t>
            </w:r>
            <w:r w:rsidR="00A22189">
              <w:rPr>
                <w:rFonts w:ascii="Arial" w:hAnsi="Arial" w:cs="Arial"/>
                <w:color w:val="000000"/>
                <w:sz w:val="22"/>
                <w:szCs w:val="22"/>
                <w:lang w:val="en-GB"/>
              </w:rPr>
              <w:t xml:space="preserve"> family in </w:t>
            </w:r>
            <w:proofErr w:type="spellStart"/>
            <w:r w:rsidR="00A22189">
              <w:rPr>
                <w:rFonts w:ascii="Arial" w:hAnsi="Arial" w:cs="Arial"/>
                <w:color w:val="000000"/>
                <w:sz w:val="22"/>
                <w:szCs w:val="22"/>
                <w:lang w:val="en-GB"/>
              </w:rPr>
              <w:t>Touho</w:t>
            </w:r>
            <w:proofErr w:type="spellEnd"/>
            <w:r>
              <w:rPr>
                <w:rFonts w:ascii="Arial" w:hAnsi="Arial" w:cs="Arial"/>
                <w:color w:val="000000"/>
                <w:sz w:val="22"/>
                <w:szCs w:val="22"/>
                <w:lang w:val="en-GB"/>
              </w:rPr>
              <w:t>.</w:t>
            </w:r>
          </w:p>
          <w:p w14:paraId="59568508" w14:textId="77777777" w:rsidR="0056493B" w:rsidRDefault="0056493B" w:rsidP="0056493B">
            <w:pPr>
              <w:jc w:val="both"/>
              <w:rPr>
                <w:rFonts w:ascii="Arial" w:hAnsi="Arial" w:cs="Arial"/>
                <w:b/>
                <w:sz w:val="22"/>
                <w:szCs w:val="22"/>
                <w:lang w:val="en-GB"/>
              </w:rPr>
            </w:pPr>
          </w:p>
          <w:p w14:paraId="33F665DD" w14:textId="31E1A423" w:rsidR="0056493B" w:rsidRDefault="00A22189" w:rsidP="00497839">
            <w:pPr>
              <w:jc w:val="center"/>
              <w:rPr>
                <w:rFonts w:ascii="Arial" w:hAnsi="Arial" w:cs="Arial"/>
                <w:b/>
                <w:sz w:val="22"/>
                <w:szCs w:val="22"/>
              </w:rPr>
            </w:pPr>
            <w:r>
              <w:rPr>
                <w:rStyle w:val="None"/>
                <w:rFonts w:ascii="Arial" w:eastAsia="Arial" w:hAnsi="Arial" w:cs="Arial"/>
                <w:noProof/>
              </w:rPr>
              <w:drawing>
                <wp:inline distT="0" distB="0" distL="0" distR="0" wp14:anchorId="38629733" wp14:editId="265AE5C7">
                  <wp:extent cx="5153025" cy="2623138"/>
                  <wp:effectExtent l="0" t="0" r="0" b="6350"/>
                  <wp:docPr id="1073741825" name="officeArt object" descr="Une image contenant plein air, arbre, sol, habits&#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5" name="Une image contenant plein air, arbre, sol, habitsDescription générée automatiquement" descr="Une image contenant plein air, arbre, sol, habitsDescription générée automatiquement"/>
                          <pic:cNvPicPr>
                            <a:picLocks noChangeAspect="1"/>
                          </pic:cNvPicPr>
                        </pic:nvPicPr>
                        <pic:blipFill>
                          <a:blip r:embed="rId8"/>
                          <a:stretch>
                            <a:fillRect/>
                          </a:stretch>
                        </pic:blipFill>
                        <pic:spPr>
                          <a:xfrm>
                            <a:off x="0" y="0"/>
                            <a:ext cx="5162745" cy="2628086"/>
                          </a:xfrm>
                          <a:prstGeom prst="rect">
                            <a:avLst/>
                          </a:prstGeom>
                          <a:ln w="12700" cap="flat">
                            <a:noFill/>
                            <a:miter lim="400000"/>
                          </a:ln>
                          <a:effectLst/>
                        </pic:spPr>
                      </pic:pic>
                    </a:graphicData>
                  </a:graphic>
                </wp:inline>
              </w:drawing>
            </w:r>
          </w:p>
          <w:p w14:paraId="1497CA50" w14:textId="77777777" w:rsidR="00A22189" w:rsidRDefault="00A22189" w:rsidP="0056493B">
            <w:pPr>
              <w:jc w:val="both"/>
              <w:rPr>
                <w:rFonts w:ascii="Arial" w:hAnsi="Arial" w:cs="Arial"/>
                <w:b/>
                <w:sz w:val="22"/>
                <w:szCs w:val="22"/>
              </w:rPr>
            </w:pPr>
          </w:p>
          <w:p w14:paraId="64CC5226" w14:textId="77777777" w:rsidR="0056493B" w:rsidRPr="0056493B" w:rsidRDefault="0056493B" w:rsidP="0056493B">
            <w:pPr>
              <w:jc w:val="both"/>
              <w:rPr>
                <w:rFonts w:ascii="Arial" w:hAnsi="Arial" w:cs="Arial"/>
                <w:b/>
                <w:bCs/>
                <w:color w:val="000000"/>
                <w:sz w:val="22"/>
                <w:szCs w:val="22"/>
                <w:lang w:val="en-GB"/>
              </w:rPr>
            </w:pPr>
            <w:r w:rsidRPr="0056493B">
              <w:rPr>
                <w:rFonts w:ascii="Arial" w:hAnsi="Arial" w:cs="Arial"/>
                <w:b/>
                <w:bCs/>
                <w:color w:val="000000"/>
                <w:sz w:val="22"/>
                <w:szCs w:val="22"/>
                <w:lang w:val="en-GB"/>
              </w:rPr>
              <w:t>References</w:t>
            </w:r>
          </w:p>
          <w:p w14:paraId="24CA2262" w14:textId="77777777" w:rsidR="00A22189" w:rsidRPr="00A22189" w:rsidRDefault="00A22189" w:rsidP="00A22189">
            <w:pPr>
              <w:tabs>
                <w:tab w:val="left" w:pos="20"/>
                <w:tab w:val="left" w:pos="315"/>
              </w:tabs>
              <w:autoSpaceDE w:val="0"/>
              <w:autoSpaceDN w:val="0"/>
              <w:adjustRightInd w:val="0"/>
              <w:jc w:val="both"/>
              <w:rPr>
                <w:rFonts w:ascii="Arial" w:hAnsi="Arial" w:cs="Arial"/>
                <w:color w:val="000000"/>
                <w:sz w:val="22"/>
                <w:szCs w:val="22"/>
                <w:lang w:val="fr-FR"/>
              </w:rPr>
            </w:pPr>
            <w:r w:rsidRPr="00A22189">
              <w:rPr>
                <w:rFonts w:ascii="Arial" w:hAnsi="Arial" w:cs="Arial"/>
                <w:color w:val="000000"/>
                <w:sz w:val="22"/>
                <w:szCs w:val="22"/>
                <w:lang w:val="en-US"/>
              </w:rPr>
              <w:t xml:space="preserve">(1) Harrington-Abrams, Rachel, Erica Bower, et Betsy Priem. 2024. « Complicating “community” engagement: Reckoning with an elusive concept in climate-related planned relocation ». </w:t>
            </w:r>
            <w:r w:rsidRPr="00A22189">
              <w:rPr>
                <w:rFonts w:ascii="Arial" w:hAnsi="Arial" w:cs="Arial"/>
                <w:color w:val="000000"/>
                <w:sz w:val="22"/>
                <w:szCs w:val="22"/>
                <w:lang w:val="fr-FR"/>
              </w:rPr>
              <w:t xml:space="preserve">Global </w:t>
            </w:r>
            <w:proofErr w:type="spellStart"/>
            <w:r w:rsidRPr="00A22189">
              <w:rPr>
                <w:rFonts w:ascii="Arial" w:hAnsi="Arial" w:cs="Arial"/>
                <w:color w:val="000000"/>
                <w:sz w:val="22"/>
                <w:szCs w:val="22"/>
                <w:lang w:val="fr-FR"/>
              </w:rPr>
              <w:t>Environmental</w:t>
            </w:r>
            <w:proofErr w:type="spellEnd"/>
            <w:r w:rsidRPr="00A22189">
              <w:rPr>
                <w:rFonts w:ascii="Arial" w:hAnsi="Arial" w:cs="Arial"/>
                <w:color w:val="000000"/>
                <w:sz w:val="22"/>
                <w:szCs w:val="22"/>
                <w:lang w:val="fr-FR"/>
              </w:rPr>
              <w:t xml:space="preserve"> Change 88 (septembre). https://doi.org/10.1016/j.gloenvcha.2024.102913.</w:t>
            </w:r>
          </w:p>
          <w:p w14:paraId="7995C790" w14:textId="77777777" w:rsidR="00A22189" w:rsidRPr="00A22189" w:rsidRDefault="00A22189" w:rsidP="00A22189">
            <w:pPr>
              <w:tabs>
                <w:tab w:val="left" w:pos="20"/>
                <w:tab w:val="left" w:pos="315"/>
              </w:tabs>
              <w:autoSpaceDE w:val="0"/>
              <w:autoSpaceDN w:val="0"/>
              <w:adjustRightInd w:val="0"/>
              <w:jc w:val="both"/>
              <w:rPr>
                <w:rFonts w:ascii="Arial" w:hAnsi="Arial" w:cs="Arial"/>
                <w:color w:val="000000"/>
                <w:sz w:val="22"/>
                <w:szCs w:val="22"/>
                <w:lang w:val="fr-FR"/>
              </w:rPr>
            </w:pPr>
          </w:p>
          <w:p w14:paraId="0215E7D6" w14:textId="77777777" w:rsidR="00A22189" w:rsidRPr="00A22189" w:rsidRDefault="00A22189" w:rsidP="00A22189">
            <w:pPr>
              <w:tabs>
                <w:tab w:val="left" w:pos="20"/>
                <w:tab w:val="left" w:pos="315"/>
              </w:tabs>
              <w:autoSpaceDE w:val="0"/>
              <w:autoSpaceDN w:val="0"/>
              <w:adjustRightInd w:val="0"/>
              <w:jc w:val="both"/>
              <w:rPr>
                <w:rFonts w:ascii="Arial" w:hAnsi="Arial" w:cs="Arial"/>
                <w:color w:val="000000"/>
                <w:sz w:val="22"/>
                <w:szCs w:val="22"/>
                <w:lang w:val="fr-FR"/>
              </w:rPr>
            </w:pPr>
            <w:r w:rsidRPr="00A22189">
              <w:rPr>
                <w:rFonts w:ascii="Arial" w:hAnsi="Arial" w:cs="Arial"/>
                <w:color w:val="000000"/>
                <w:sz w:val="22"/>
                <w:szCs w:val="22"/>
                <w:lang w:val="fr-FR"/>
              </w:rPr>
              <w:t xml:space="preserve">(2) </w:t>
            </w:r>
            <w:proofErr w:type="spellStart"/>
            <w:r w:rsidRPr="00A22189">
              <w:rPr>
                <w:rFonts w:ascii="Arial" w:hAnsi="Arial" w:cs="Arial"/>
                <w:color w:val="000000"/>
                <w:sz w:val="22"/>
                <w:szCs w:val="22"/>
                <w:lang w:val="fr-FR"/>
              </w:rPr>
              <w:t>Bordner</w:t>
            </w:r>
            <w:proofErr w:type="spellEnd"/>
            <w:r w:rsidRPr="00A22189">
              <w:rPr>
                <w:rFonts w:ascii="Arial" w:hAnsi="Arial" w:cs="Arial"/>
                <w:color w:val="000000"/>
                <w:sz w:val="22"/>
                <w:szCs w:val="22"/>
                <w:lang w:val="fr-FR"/>
              </w:rPr>
              <w:t xml:space="preserve">, </w:t>
            </w:r>
            <w:proofErr w:type="spellStart"/>
            <w:r w:rsidRPr="00A22189">
              <w:rPr>
                <w:rFonts w:ascii="Arial" w:hAnsi="Arial" w:cs="Arial"/>
                <w:color w:val="000000"/>
                <w:sz w:val="22"/>
                <w:szCs w:val="22"/>
                <w:lang w:val="fr-FR"/>
              </w:rPr>
              <w:t>Autumn</w:t>
            </w:r>
            <w:proofErr w:type="spellEnd"/>
            <w:r w:rsidRPr="00A22189">
              <w:rPr>
                <w:rFonts w:ascii="Arial" w:hAnsi="Arial" w:cs="Arial"/>
                <w:color w:val="000000"/>
                <w:sz w:val="22"/>
                <w:szCs w:val="22"/>
                <w:lang w:val="fr-FR"/>
              </w:rPr>
              <w:t xml:space="preserve"> S., Caroline E. Ferguson, et Leonard </w:t>
            </w:r>
            <w:proofErr w:type="spellStart"/>
            <w:r w:rsidRPr="00A22189">
              <w:rPr>
                <w:rFonts w:ascii="Arial" w:hAnsi="Arial" w:cs="Arial"/>
                <w:color w:val="000000"/>
                <w:sz w:val="22"/>
                <w:szCs w:val="22"/>
                <w:lang w:val="fr-FR"/>
              </w:rPr>
              <w:t>Ortolano</w:t>
            </w:r>
            <w:proofErr w:type="spellEnd"/>
            <w:r w:rsidRPr="00A22189">
              <w:rPr>
                <w:rFonts w:ascii="Arial" w:hAnsi="Arial" w:cs="Arial"/>
                <w:color w:val="000000"/>
                <w:sz w:val="22"/>
                <w:szCs w:val="22"/>
                <w:lang w:val="fr-FR"/>
              </w:rPr>
              <w:t xml:space="preserve">. </w:t>
            </w:r>
            <w:r w:rsidRPr="00A22189">
              <w:rPr>
                <w:rFonts w:ascii="Arial" w:hAnsi="Arial" w:cs="Arial"/>
                <w:color w:val="000000"/>
                <w:sz w:val="22"/>
                <w:szCs w:val="22"/>
                <w:lang w:val="en-US"/>
              </w:rPr>
              <w:t xml:space="preserve">2020. « Colonial dynamics limit climate adaptation in Oceania: Perspectives from the Marshall Islands ». </w:t>
            </w:r>
            <w:r w:rsidRPr="00A22189">
              <w:rPr>
                <w:rFonts w:ascii="Arial" w:hAnsi="Arial" w:cs="Arial"/>
                <w:color w:val="000000"/>
                <w:sz w:val="22"/>
                <w:szCs w:val="22"/>
                <w:lang w:val="fr-FR"/>
              </w:rPr>
              <w:t xml:space="preserve">Global </w:t>
            </w:r>
            <w:proofErr w:type="spellStart"/>
            <w:r w:rsidRPr="00A22189">
              <w:rPr>
                <w:rFonts w:ascii="Arial" w:hAnsi="Arial" w:cs="Arial"/>
                <w:color w:val="000000"/>
                <w:sz w:val="22"/>
                <w:szCs w:val="22"/>
                <w:lang w:val="fr-FR"/>
              </w:rPr>
              <w:t>Environmental</w:t>
            </w:r>
            <w:proofErr w:type="spellEnd"/>
            <w:r w:rsidRPr="00A22189">
              <w:rPr>
                <w:rFonts w:ascii="Arial" w:hAnsi="Arial" w:cs="Arial"/>
                <w:color w:val="000000"/>
                <w:sz w:val="22"/>
                <w:szCs w:val="22"/>
                <w:lang w:val="fr-FR"/>
              </w:rPr>
              <w:t xml:space="preserve"> Change 61 (mars</w:t>
            </w:r>
            <w:proofErr w:type="gramStart"/>
            <w:r w:rsidRPr="00A22189">
              <w:rPr>
                <w:rFonts w:ascii="Arial" w:hAnsi="Arial" w:cs="Arial"/>
                <w:color w:val="000000"/>
                <w:sz w:val="22"/>
                <w:szCs w:val="22"/>
                <w:lang w:val="fr-FR"/>
              </w:rPr>
              <w:t>):</w:t>
            </w:r>
            <w:proofErr w:type="gramEnd"/>
            <w:r w:rsidRPr="00A22189">
              <w:rPr>
                <w:rFonts w:ascii="Arial" w:hAnsi="Arial" w:cs="Arial"/>
                <w:color w:val="000000"/>
                <w:sz w:val="22"/>
                <w:szCs w:val="22"/>
                <w:lang w:val="fr-FR"/>
              </w:rPr>
              <w:t>102054. https://doi.org/10.1016/j.gloenvcha.2020.102054.</w:t>
            </w:r>
          </w:p>
          <w:p w14:paraId="1D6BAE6C" w14:textId="77777777" w:rsidR="00A22189" w:rsidRPr="00A22189" w:rsidRDefault="00A22189" w:rsidP="00A22189">
            <w:pPr>
              <w:tabs>
                <w:tab w:val="left" w:pos="20"/>
                <w:tab w:val="left" w:pos="315"/>
              </w:tabs>
              <w:autoSpaceDE w:val="0"/>
              <w:autoSpaceDN w:val="0"/>
              <w:adjustRightInd w:val="0"/>
              <w:jc w:val="both"/>
              <w:rPr>
                <w:rFonts w:ascii="Arial" w:hAnsi="Arial" w:cs="Arial"/>
                <w:color w:val="000000"/>
                <w:sz w:val="22"/>
                <w:szCs w:val="22"/>
                <w:lang w:val="fr-FR"/>
              </w:rPr>
            </w:pPr>
          </w:p>
          <w:p w14:paraId="470F291F" w14:textId="77777777" w:rsidR="00A22189" w:rsidRPr="0076232C" w:rsidRDefault="00A22189" w:rsidP="00A22189">
            <w:pPr>
              <w:tabs>
                <w:tab w:val="left" w:pos="20"/>
                <w:tab w:val="left" w:pos="315"/>
              </w:tabs>
              <w:autoSpaceDE w:val="0"/>
              <w:autoSpaceDN w:val="0"/>
              <w:adjustRightInd w:val="0"/>
              <w:jc w:val="both"/>
              <w:rPr>
                <w:rFonts w:ascii="Arial" w:hAnsi="Arial" w:cs="Arial"/>
                <w:color w:val="000000"/>
                <w:sz w:val="22"/>
                <w:szCs w:val="22"/>
                <w:lang w:val="en-US"/>
              </w:rPr>
            </w:pPr>
            <w:r w:rsidRPr="0076232C">
              <w:rPr>
                <w:rFonts w:ascii="Arial" w:hAnsi="Arial" w:cs="Arial"/>
                <w:color w:val="000000"/>
                <w:sz w:val="22"/>
                <w:szCs w:val="22"/>
                <w:lang w:val="fr-FR"/>
              </w:rPr>
              <w:t xml:space="preserve">(3) McDermott, </w:t>
            </w:r>
            <w:proofErr w:type="spellStart"/>
            <w:r w:rsidRPr="0076232C">
              <w:rPr>
                <w:rFonts w:ascii="Arial" w:hAnsi="Arial" w:cs="Arial"/>
                <w:color w:val="000000"/>
                <w:sz w:val="22"/>
                <w:szCs w:val="22"/>
                <w:lang w:val="fr-FR"/>
              </w:rPr>
              <w:t>Melanie</w:t>
            </w:r>
            <w:proofErr w:type="spellEnd"/>
            <w:r w:rsidRPr="0076232C">
              <w:rPr>
                <w:rFonts w:ascii="Arial" w:hAnsi="Arial" w:cs="Arial"/>
                <w:color w:val="000000"/>
                <w:sz w:val="22"/>
                <w:szCs w:val="22"/>
                <w:lang w:val="fr-FR"/>
              </w:rPr>
              <w:t xml:space="preserve">, Sango </w:t>
            </w:r>
            <w:proofErr w:type="spellStart"/>
            <w:r w:rsidRPr="0076232C">
              <w:rPr>
                <w:rFonts w:ascii="Arial" w:hAnsi="Arial" w:cs="Arial"/>
                <w:color w:val="000000"/>
                <w:sz w:val="22"/>
                <w:szCs w:val="22"/>
                <w:lang w:val="fr-FR"/>
              </w:rPr>
              <w:t>Mahanty</w:t>
            </w:r>
            <w:proofErr w:type="spellEnd"/>
            <w:r w:rsidRPr="0076232C">
              <w:rPr>
                <w:rFonts w:ascii="Arial" w:hAnsi="Arial" w:cs="Arial"/>
                <w:color w:val="000000"/>
                <w:sz w:val="22"/>
                <w:szCs w:val="22"/>
                <w:lang w:val="fr-FR"/>
              </w:rPr>
              <w:t xml:space="preserve">, et Kate </w:t>
            </w:r>
            <w:proofErr w:type="spellStart"/>
            <w:r w:rsidRPr="0076232C">
              <w:rPr>
                <w:rFonts w:ascii="Arial" w:hAnsi="Arial" w:cs="Arial"/>
                <w:color w:val="000000"/>
                <w:sz w:val="22"/>
                <w:szCs w:val="22"/>
                <w:lang w:val="fr-FR"/>
              </w:rPr>
              <w:t>Schreckenberg</w:t>
            </w:r>
            <w:proofErr w:type="spellEnd"/>
            <w:r w:rsidRPr="0076232C">
              <w:rPr>
                <w:rFonts w:ascii="Arial" w:hAnsi="Arial" w:cs="Arial"/>
                <w:color w:val="000000"/>
                <w:sz w:val="22"/>
                <w:szCs w:val="22"/>
                <w:lang w:val="fr-FR"/>
              </w:rPr>
              <w:t xml:space="preserve">. </w:t>
            </w:r>
            <w:r w:rsidRPr="00A22189">
              <w:rPr>
                <w:rFonts w:ascii="Arial" w:hAnsi="Arial" w:cs="Arial"/>
                <w:color w:val="000000"/>
                <w:sz w:val="22"/>
                <w:szCs w:val="22"/>
                <w:lang w:val="en-US"/>
              </w:rPr>
              <w:t xml:space="preserve">2013. « Examining equity: A multidimensional framework for assessing equity in payments for ecosystem services ». </w:t>
            </w:r>
            <w:r w:rsidRPr="0076232C">
              <w:rPr>
                <w:rFonts w:ascii="Arial" w:hAnsi="Arial" w:cs="Arial"/>
                <w:color w:val="000000"/>
                <w:sz w:val="22"/>
                <w:szCs w:val="22"/>
                <w:lang w:val="en-US"/>
              </w:rPr>
              <w:t>Environmental Science &amp; Policy 33 (</w:t>
            </w:r>
            <w:proofErr w:type="spellStart"/>
            <w:r w:rsidRPr="0076232C">
              <w:rPr>
                <w:rFonts w:ascii="Arial" w:hAnsi="Arial" w:cs="Arial"/>
                <w:color w:val="000000"/>
                <w:sz w:val="22"/>
                <w:szCs w:val="22"/>
                <w:lang w:val="en-US"/>
              </w:rPr>
              <w:t>novembre</w:t>
            </w:r>
            <w:proofErr w:type="spellEnd"/>
            <w:r w:rsidRPr="0076232C">
              <w:rPr>
                <w:rFonts w:ascii="Arial" w:hAnsi="Arial" w:cs="Arial"/>
                <w:color w:val="000000"/>
                <w:sz w:val="22"/>
                <w:szCs w:val="22"/>
                <w:lang w:val="en-US"/>
              </w:rPr>
              <w:t>):41627. https://doi.org/10.1016/j.envsci.2012.10.006.</w:t>
            </w:r>
          </w:p>
          <w:p w14:paraId="2BA96A79" w14:textId="77777777" w:rsidR="00A22189" w:rsidRPr="0076232C" w:rsidRDefault="00A22189" w:rsidP="00A22189">
            <w:pPr>
              <w:tabs>
                <w:tab w:val="left" w:pos="20"/>
                <w:tab w:val="left" w:pos="315"/>
              </w:tabs>
              <w:autoSpaceDE w:val="0"/>
              <w:autoSpaceDN w:val="0"/>
              <w:adjustRightInd w:val="0"/>
              <w:jc w:val="both"/>
              <w:rPr>
                <w:rFonts w:ascii="Arial" w:hAnsi="Arial" w:cs="Arial"/>
                <w:color w:val="000000"/>
                <w:sz w:val="22"/>
                <w:szCs w:val="22"/>
                <w:lang w:val="en-US"/>
              </w:rPr>
            </w:pPr>
          </w:p>
          <w:p w14:paraId="3CECD5A1" w14:textId="1D666020" w:rsidR="0056493B" w:rsidRPr="0076232C" w:rsidRDefault="00A22189" w:rsidP="00A22189">
            <w:pPr>
              <w:jc w:val="both"/>
              <w:rPr>
                <w:rFonts w:ascii="Arial" w:hAnsi="Arial" w:cs="Arial"/>
                <w:b/>
                <w:sz w:val="22"/>
                <w:szCs w:val="22"/>
                <w:lang w:val="en-US"/>
              </w:rPr>
            </w:pPr>
            <w:r w:rsidRPr="00A22189">
              <w:rPr>
                <w:rFonts w:ascii="Arial" w:hAnsi="Arial" w:cs="Arial"/>
                <w:color w:val="000000"/>
                <w:sz w:val="22"/>
                <w:szCs w:val="22"/>
                <w:lang w:val="en-US"/>
              </w:rPr>
              <w:lastRenderedPageBreak/>
              <w:t xml:space="preserve">(4) Butler, J, Russell Wise, Timothy Skewes, Erin Bohensky, Nate Peterson, W </w:t>
            </w:r>
            <w:proofErr w:type="spellStart"/>
            <w:r w:rsidRPr="00A22189">
              <w:rPr>
                <w:rFonts w:ascii="Arial" w:hAnsi="Arial" w:cs="Arial"/>
                <w:color w:val="000000"/>
                <w:sz w:val="22"/>
                <w:szCs w:val="22"/>
                <w:lang w:val="en-US"/>
              </w:rPr>
              <w:t>Suadnya</w:t>
            </w:r>
            <w:proofErr w:type="spellEnd"/>
            <w:r w:rsidRPr="00A22189">
              <w:rPr>
                <w:rFonts w:ascii="Arial" w:hAnsi="Arial" w:cs="Arial"/>
                <w:color w:val="000000"/>
                <w:sz w:val="22"/>
                <w:szCs w:val="22"/>
                <w:lang w:val="en-US"/>
              </w:rPr>
              <w:t xml:space="preserve">, Y </w:t>
            </w:r>
            <w:proofErr w:type="spellStart"/>
            <w:r w:rsidRPr="00A22189">
              <w:rPr>
                <w:rFonts w:ascii="Arial" w:hAnsi="Arial" w:cs="Arial"/>
                <w:color w:val="000000"/>
                <w:sz w:val="22"/>
                <w:szCs w:val="22"/>
                <w:lang w:val="en-US"/>
              </w:rPr>
              <w:t>Yanuartati</w:t>
            </w:r>
            <w:proofErr w:type="spellEnd"/>
            <w:r w:rsidRPr="00A22189">
              <w:rPr>
                <w:rFonts w:ascii="Arial" w:hAnsi="Arial" w:cs="Arial"/>
                <w:color w:val="000000"/>
                <w:sz w:val="22"/>
                <w:szCs w:val="22"/>
                <w:lang w:val="en-US"/>
              </w:rPr>
              <w:t xml:space="preserve">, et al. 2015. « Integrating Top-Down and Bottom-Up Adaptation Planning to Build Adaptive Capacity: A Structured Learning Approach ». </w:t>
            </w:r>
            <w:r w:rsidRPr="0076232C">
              <w:rPr>
                <w:rFonts w:ascii="Arial" w:hAnsi="Arial" w:cs="Arial"/>
                <w:color w:val="000000"/>
                <w:sz w:val="22"/>
                <w:szCs w:val="22"/>
                <w:lang w:val="en-US"/>
              </w:rPr>
              <w:t>Coastal Management 43 (</w:t>
            </w:r>
            <w:proofErr w:type="spellStart"/>
            <w:r w:rsidRPr="0076232C">
              <w:rPr>
                <w:rFonts w:ascii="Arial" w:hAnsi="Arial" w:cs="Arial"/>
                <w:color w:val="000000"/>
                <w:sz w:val="22"/>
                <w:szCs w:val="22"/>
                <w:lang w:val="en-US"/>
              </w:rPr>
              <w:t>juillet</w:t>
            </w:r>
            <w:proofErr w:type="spellEnd"/>
            <w:r w:rsidRPr="0076232C">
              <w:rPr>
                <w:rFonts w:ascii="Arial" w:hAnsi="Arial" w:cs="Arial"/>
                <w:color w:val="000000"/>
                <w:sz w:val="22"/>
                <w:szCs w:val="22"/>
                <w:lang w:val="en-US"/>
              </w:rPr>
              <w:t>):34664. https://doi.org/10.1080/08920753.2015.1046802.</w:t>
            </w:r>
          </w:p>
          <w:p w14:paraId="2CBAECD6" w14:textId="729DADBB" w:rsidR="009F4EA0" w:rsidRPr="002F0B0F" w:rsidRDefault="009F4EA0" w:rsidP="002F0B0F">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5B57538"/>
    <w:multiLevelType w:val="hybridMultilevel"/>
    <w:tmpl w:val="86BC59DC"/>
    <w:numStyleLink w:val="ImportedStyle10"/>
  </w:abstractNum>
  <w:abstractNum w:abstractNumId="4" w15:restartNumberingAfterBreak="0">
    <w:nsid w:val="4E3C2C62"/>
    <w:multiLevelType w:val="hybridMultilevel"/>
    <w:tmpl w:val="0DAAA3B4"/>
    <w:numStyleLink w:val="ImportedStyle1"/>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B246500"/>
    <w:multiLevelType w:val="hybridMultilevel"/>
    <w:tmpl w:val="0DAAA3B4"/>
    <w:styleLink w:val="ImportedStyle1"/>
    <w:lvl w:ilvl="0" w:tplc="B4186F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44D5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ECFE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626E4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1630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F695B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09A5E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64B0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B004B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6B0FA8"/>
    <w:multiLevelType w:val="hybridMultilevel"/>
    <w:tmpl w:val="86BC59DC"/>
    <w:styleLink w:val="ImportedStyle10"/>
    <w:lvl w:ilvl="0" w:tplc="9FBA3D06">
      <w:start w:val="1"/>
      <w:numFmt w:val="decimal"/>
      <w:lvlText w:val="%1."/>
      <w:lvlJc w:val="left"/>
      <w:pPr>
        <w:ind w:left="28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5B838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78C98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5462D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64A8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FEDE4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97083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4E14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B46B2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09169184">
    <w:abstractNumId w:val="1"/>
  </w:num>
  <w:num w:numId="2" w16cid:durableId="1179933117">
    <w:abstractNumId w:val="5"/>
  </w:num>
  <w:num w:numId="3" w16cid:durableId="997154213">
    <w:abstractNumId w:val="2"/>
  </w:num>
  <w:num w:numId="4" w16cid:durableId="499807834">
    <w:abstractNumId w:val="0"/>
  </w:num>
  <w:num w:numId="5" w16cid:durableId="1123235529">
    <w:abstractNumId w:val="6"/>
  </w:num>
  <w:num w:numId="6" w16cid:durableId="2096583957">
    <w:abstractNumId w:val="4"/>
  </w:num>
  <w:num w:numId="7" w16cid:durableId="1541089250">
    <w:abstractNumId w:val="7"/>
  </w:num>
  <w:num w:numId="8" w16cid:durableId="682514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641FF"/>
    <w:rsid w:val="00247C60"/>
    <w:rsid w:val="00256963"/>
    <w:rsid w:val="002E3AA3"/>
    <w:rsid w:val="002F0B0F"/>
    <w:rsid w:val="00317356"/>
    <w:rsid w:val="0034503D"/>
    <w:rsid w:val="00354C31"/>
    <w:rsid w:val="00375B20"/>
    <w:rsid w:val="00386D01"/>
    <w:rsid w:val="004049E7"/>
    <w:rsid w:val="00462B90"/>
    <w:rsid w:val="004828A0"/>
    <w:rsid w:val="00497839"/>
    <w:rsid w:val="004B69C7"/>
    <w:rsid w:val="004D193B"/>
    <w:rsid w:val="004F4CE8"/>
    <w:rsid w:val="004F5C81"/>
    <w:rsid w:val="0053222C"/>
    <w:rsid w:val="005469BD"/>
    <w:rsid w:val="00550B17"/>
    <w:rsid w:val="0056493B"/>
    <w:rsid w:val="005854B8"/>
    <w:rsid w:val="0065012F"/>
    <w:rsid w:val="0068043B"/>
    <w:rsid w:val="00681CA7"/>
    <w:rsid w:val="006B44B5"/>
    <w:rsid w:val="0076232C"/>
    <w:rsid w:val="008235E8"/>
    <w:rsid w:val="008773DF"/>
    <w:rsid w:val="008A4E0B"/>
    <w:rsid w:val="008B01BA"/>
    <w:rsid w:val="008B50A0"/>
    <w:rsid w:val="008C0C35"/>
    <w:rsid w:val="008C22AD"/>
    <w:rsid w:val="008C2633"/>
    <w:rsid w:val="008E3D8D"/>
    <w:rsid w:val="008F2F93"/>
    <w:rsid w:val="009010B0"/>
    <w:rsid w:val="00906B39"/>
    <w:rsid w:val="00923603"/>
    <w:rsid w:val="00963443"/>
    <w:rsid w:val="009C374A"/>
    <w:rsid w:val="009F4EA0"/>
    <w:rsid w:val="00A22189"/>
    <w:rsid w:val="00B026E8"/>
    <w:rsid w:val="00BA0872"/>
    <w:rsid w:val="00BA26BB"/>
    <w:rsid w:val="00BC6810"/>
    <w:rsid w:val="00BE0B4D"/>
    <w:rsid w:val="00BE58D6"/>
    <w:rsid w:val="00C26081"/>
    <w:rsid w:val="00C4126D"/>
    <w:rsid w:val="00C5358D"/>
    <w:rsid w:val="00C76C99"/>
    <w:rsid w:val="00C8423A"/>
    <w:rsid w:val="00CE0772"/>
    <w:rsid w:val="00CE53FE"/>
    <w:rsid w:val="00D716AD"/>
    <w:rsid w:val="00DB7929"/>
    <w:rsid w:val="00DD1BB3"/>
    <w:rsid w:val="00E612FF"/>
    <w:rsid w:val="00EB1B31"/>
    <w:rsid w:val="00F44BED"/>
    <w:rsid w:val="00F818D6"/>
    <w:rsid w:val="00FA372B"/>
    <w:rsid w:val="00FC7FD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BodyA">
    <w:name w:val="Body A"/>
    <w:rsid w:val="00A22189"/>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fr-FR"/>
      <w14:textOutline w14:w="12700" w14:cap="flat" w14:cmpd="sng" w14:algn="ctr">
        <w14:noFill/>
        <w14:prstDash w14:val="solid"/>
        <w14:miter w14:lim="400000"/>
      </w14:textOutline>
    </w:rPr>
  </w:style>
  <w:style w:type="numbering" w:customStyle="1" w:styleId="ImportedStyle1">
    <w:name w:val="Imported Style 1"/>
    <w:rsid w:val="00A22189"/>
    <w:pPr>
      <w:numPr>
        <w:numId w:val="5"/>
      </w:numPr>
    </w:pPr>
  </w:style>
  <w:style w:type="numbering" w:customStyle="1" w:styleId="ImportedStyle10">
    <w:name w:val="Imported Style 1.0"/>
    <w:rsid w:val="00A22189"/>
    <w:pPr>
      <w:numPr>
        <w:numId w:val="7"/>
      </w:numPr>
    </w:pPr>
  </w:style>
  <w:style w:type="character" w:customStyle="1" w:styleId="None">
    <w:name w:val="None"/>
    <w:rsid w:val="00A2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2025-02-27T08:31:00Z</dcterms:created>
  <dcterms:modified xsi:type="dcterms:W3CDTF">2025-08-19T00:36:00Z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