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23238" w14:textId="77777777" w:rsidR="00434A98" w:rsidRDefault="00434A98" w:rsidP="00434A98">
      <w:pPr>
        <w:pStyle w:val="NormalWeb"/>
        <w:widowControl/>
        <w:shd w:val="clear" w:color="auto" w:fill="FFFFFF"/>
        <w:spacing w:beforeAutospacing="0" w:after="210" w:afterAutospacing="0"/>
        <w:rPr>
          <w:rFonts w:ascii="Arial" w:eastAsia="SimSun" w:hAnsi="Arial" w:cs="Arial"/>
          <w:b/>
          <w:bCs/>
          <w:color w:val="2C2C36"/>
          <w:spacing w:val="1"/>
          <w:sz w:val="22"/>
          <w:szCs w:val="22"/>
          <w:shd w:val="clear" w:color="auto" w:fill="FFFFFF"/>
        </w:rPr>
      </w:pPr>
      <w:r w:rsidRPr="00434A98">
        <w:rPr>
          <w:rFonts w:ascii="Arial" w:eastAsia="SimSun" w:hAnsi="Arial" w:cs="Arial"/>
          <w:b/>
          <w:bCs/>
          <w:color w:val="2C2C36"/>
          <w:spacing w:val="1"/>
          <w:sz w:val="22"/>
          <w:szCs w:val="22"/>
          <w:shd w:val="clear" w:color="auto" w:fill="FFFFFF"/>
        </w:rPr>
        <w:t xml:space="preserve">Hepatic </w:t>
      </w:r>
      <w:proofErr w:type="spellStart"/>
      <w:r w:rsidRPr="00434A98">
        <w:rPr>
          <w:rFonts w:ascii="Arial" w:eastAsia="SimSun" w:hAnsi="Arial" w:cs="Arial"/>
          <w:b/>
          <w:bCs/>
          <w:color w:val="2C2C36"/>
          <w:spacing w:val="1"/>
          <w:sz w:val="22"/>
          <w:szCs w:val="22"/>
          <w:shd w:val="clear" w:color="auto" w:fill="FFFFFF"/>
        </w:rPr>
        <w:t>selenoprotein</w:t>
      </w:r>
      <w:proofErr w:type="spellEnd"/>
      <w:r w:rsidRPr="00434A98">
        <w:rPr>
          <w:rFonts w:ascii="Arial" w:eastAsia="SimSun" w:hAnsi="Arial" w:cs="Arial"/>
          <w:b/>
          <w:bCs/>
          <w:color w:val="2C2C36"/>
          <w:spacing w:val="1"/>
          <w:sz w:val="22"/>
          <w:szCs w:val="22"/>
          <w:shd w:val="clear" w:color="auto" w:fill="FFFFFF"/>
        </w:rPr>
        <w:t xml:space="preserve"> S knockout aggravates diet-induced MAFLD through modulating LPC-</w:t>
      </w:r>
      <w:proofErr w:type="spellStart"/>
      <w:r w:rsidRPr="00434A98">
        <w:rPr>
          <w:rFonts w:ascii="Arial" w:eastAsia="SimSun" w:hAnsi="Arial" w:cs="Arial"/>
          <w:b/>
          <w:bCs/>
          <w:color w:val="2C2C36"/>
          <w:spacing w:val="1"/>
          <w:sz w:val="22"/>
          <w:szCs w:val="22"/>
          <w:shd w:val="clear" w:color="auto" w:fill="FFFFFF"/>
        </w:rPr>
        <w:t>autotaxin</w:t>
      </w:r>
      <w:proofErr w:type="spellEnd"/>
      <w:r w:rsidRPr="00434A98">
        <w:rPr>
          <w:rFonts w:ascii="Arial" w:eastAsia="SimSun" w:hAnsi="Arial" w:cs="Arial"/>
          <w:b/>
          <w:bCs/>
          <w:color w:val="2C2C36"/>
          <w:spacing w:val="1"/>
          <w:sz w:val="22"/>
          <w:szCs w:val="22"/>
          <w:shd w:val="clear" w:color="auto" w:fill="FFFFFF"/>
        </w:rPr>
        <w:t>-LPA axis</w:t>
      </w:r>
    </w:p>
    <w:p w14:paraId="676E443A" w14:textId="239BDB20" w:rsidR="004E0307" w:rsidRDefault="00434A98" w:rsidP="00434A98">
      <w:pPr>
        <w:pStyle w:val="NormalWeb"/>
        <w:widowControl/>
        <w:shd w:val="clear" w:color="auto" w:fill="FFFFFF"/>
        <w:spacing w:beforeAutospacing="0" w:after="210" w:afterAutospacing="0"/>
        <w:rPr>
          <w:rFonts w:ascii="Arial" w:eastAsia="Segoe UI" w:hAnsi="Arial" w:cs="Arial"/>
          <w:b/>
          <w:bCs/>
          <w:color w:val="2C2C36"/>
          <w:spacing w:val="1"/>
          <w:sz w:val="22"/>
          <w:szCs w:val="22"/>
          <w:shd w:val="clear" w:color="auto" w:fill="FFFFFF"/>
        </w:rPr>
      </w:pPr>
      <w:r>
        <w:rPr>
          <w:rFonts w:ascii="Arial" w:eastAsia="SimSun" w:hAnsi="Arial" w:cs="Arial"/>
          <w:b/>
          <w:bCs/>
          <w:color w:val="2C2C36"/>
          <w:spacing w:val="1"/>
          <w:sz w:val="22"/>
          <w:szCs w:val="22"/>
          <w:shd w:val="clear" w:color="auto" w:fill="FFFFFF"/>
        </w:rPr>
        <w:t>A</w:t>
      </w:r>
      <w:r>
        <w:rPr>
          <w:rFonts w:ascii="Arial" w:eastAsia="Segoe UI" w:hAnsi="Arial" w:cs="Arial"/>
          <w:b/>
          <w:bCs/>
          <w:color w:val="2C2C36"/>
          <w:spacing w:val="1"/>
          <w:sz w:val="22"/>
          <w:szCs w:val="22"/>
          <w:shd w:val="clear" w:color="auto" w:fill="FFFFFF"/>
        </w:rPr>
        <w:t>im</w:t>
      </w:r>
    </w:p>
    <w:p w14:paraId="23BAB528" w14:textId="77777777" w:rsidR="004E0307" w:rsidRDefault="00434A98" w:rsidP="00434A98">
      <w:pPr>
        <w:widowControl/>
        <w:jc w:val="left"/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</w:pP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Hepatic </w:t>
      </w:r>
      <w:proofErr w:type="spellStart"/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>s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elenoprotein</w:t>
      </w:r>
      <w:proofErr w:type="spellEnd"/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 S (</w:t>
      </w:r>
      <w:proofErr w:type="spellStart"/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SelS</w:t>
      </w:r>
      <w:proofErr w:type="spellEnd"/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)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 knockout (</w:t>
      </w:r>
      <w:proofErr w:type="spellStart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</w:rPr>
        <w:t>SelS</w:t>
      </w:r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H</w:t>
      </w:r>
      <w:proofErr w:type="spellEnd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-KO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)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exacerbate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>s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 high-fat diet (HFD)-induced 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insulin resistance (IR), glucolipid metabolic disorders and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hepatic steatosis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.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This study aims to </w:t>
      </w:r>
      <w:proofErr w:type="gramStart"/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>characterized</w:t>
      </w:r>
      <w:proofErr w:type="gramEnd"/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 changes of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lipid metabolites 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in the livers of </w:t>
      </w:r>
      <w:proofErr w:type="spellStart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</w:rPr>
        <w:t>SelS</w:t>
      </w:r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H</w:t>
      </w:r>
      <w:proofErr w:type="spellEnd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-KO</w:t>
      </w:r>
      <w:r>
        <w:rPr>
          <w:rFonts w:ascii="Arial" w:eastAsia="SimSun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 xml:space="preserve"> 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mice </w:t>
      </w:r>
      <w:r>
        <w:rPr>
          <w:rFonts w:ascii="Arial" w:eastAsia="AdvOTd86a71d2" w:hAnsi="Arial" w:cs="Arial"/>
          <w:color w:val="000000"/>
          <w:kern w:val="0"/>
          <w:sz w:val="22"/>
          <w:szCs w:val="22"/>
          <w:lang w:bidi="ar"/>
        </w:rPr>
        <w:t>by untarget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ed lipidomic analysis </w:t>
      </w:r>
      <w:proofErr w:type="gramStart"/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>in order to</w:t>
      </w:r>
      <w:proofErr w:type="gramEnd"/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>achieving</w:t>
      </w:r>
      <w:proofErr w:type="gramEnd"/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 a better understanding metabolic pathways involved in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MA</w:t>
      </w:r>
      <w:r>
        <w:rPr>
          <w:rFonts w:ascii="Arial" w:eastAsia="SimSun" w:hAnsi="Arial" w:cs="Arial" w:hint="eastAsia"/>
          <w:color w:val="2C2C36"/>
          <w:spacing w:val="1"/>
          <w:sz w:val="22"/>
          <w:szCs w:val="22"/>
          <w:shd w:val="clear" w:color="auto" w:fill="FFFFFF"/>
        </w:rPr>
        <w:t>F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LD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.   </w:t>
      </w:r>
    </w:p>
    <w:p w14:paraId="62D5D3C2" w14:textId="77777777" w:rsidR="004E0307" w:rsidRDefault="00434A98" w:rsidP="00434A98">
      <w:pPr>
        <w:pStyle w:val="NormalWeb"/>
        <w:widowControl/>
        <w:shd w:val="clear" w:color="auto" w:fill="FFFFFF"/>
        <w:spacing w:beforeAutospacing="0" w:after="210" w:afterAutospacing="0"/>
        <w:rPr>
          <w:rFonts w:ascii="Arial" w:eastAsia="Segoe UI" w:hAnsi="Arial" w:cs="Arial"/>
          <w:b/>
          <w:bCs/>
          <w:color w:val="2C2C36"/>
          <w:spacing w:val="1"/>
          <w:sz w:val="22"/>
          <w:szCs w:val="22"/>
          <w:shd w:val="clear" w:color="auto" w:fill="FFFFFF"/>
        </w:rPr>
      </w:pPr>
      <w:r>
        <w:rPr>
          <w:rFonts w:ascii="Arial" w:eastAsia="Segoe UI" w:hAnsi="Arial" w:cs="Arial"/>
          <w:b/>
          <w:bCs/>
          <w:color w:val="2C2C36"/>
          <w:spacing w:val="1"/>
          <w:sz w:val="22"/>
          <w:szCs w:val="22"/>
          <w:shd w:val="clear" w:color="auto" w:fill="FFFFFF"/>
        </w:rPr>
        <w:t>Method</w:t>
      </w:r>
    </w:p>
    <w:p w14:paraId="1565A44E" w14:textId="77777777" w:rsidR="004E0307" w:rsidRDefault="00434A98" w:rsidP="00434A98">
      <w:pPr>
        <w:widowControl/>
        <w:jc w:val="left"/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</w:pP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After 4 weeks of adaptive feeding, male </w:t>
      </w:r>
      <w:proofErr w:type="spellStart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</w:rPr>
        <w:t>SelS</w:t>
      </w:r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H</w:t>
      </w:r>
      <w:proofErr w:type="spellEnd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-KO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 and control </w:t>
      </w:r>
      <w:proofErr w:type="spellStart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</w:rPr>
        <w:t>SelS</w:t>
      </w:r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F</w:t>
      </w:r>
      <w:proofErr w:type="spellEnd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/F</w:t>
      </w:r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</w:rPr>
        <w:t xml:space="preserve">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mice were fed either a HFD or regular chow (RC) for an additional 20 weeks. Liver tissues were then collected for untargeted </w:t>
      </w:r>
      <w:proofErr w:type="spellStart"/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lipidomics</w:t>
      </w:r>
      <w:proofErr w:type="spellEnd"/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 analysis to profile differential lipid metabolites. Quantitative measurements of hepatic </w:t>
      </w:r>
      <w:proofErr w:type="spellStart"/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l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ysophosphatidylcholine</w:t>
      </w:r>
      <w:proofErr w:type="spellEnd"/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 (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LPC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)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 levels, as well as serum LPC, </w:t>
      </w:r>
      <w:proofErr w:type="spellStart"/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autotaxin</w:t>
      </w:r>
      <w:proofErr w:type="spellEnd"/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 (ATX), lysophosphatidic acid (LPA), fibroblast growth factor 21 (FGF21) and adiponectin were performed using enzyme-linked immunosorbent assay (ELISA) kits. RT-qPCR was employed to detect LPA receptors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 mRNA expression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. Western blotting was conducted to examine the protein levels of ATX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 and the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phosphorylation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 of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 Erk and PPARα. </w:t>
      </w:r>
    </w:p>
    <w:p w14:paraId="38CC607A" w14:textId="77777777" w:rsidR="004E0307" w:rsidRDefault="00434A98" w:rsidP="00434A98">
      <w:pPr>
        <w:pStyle w:val="NormalWeb"/>
        <w:widowControl/>
        <w:shd w:val="clear" w:color="auto" w:fill="FFFFFF"/>
        <w:spacing w:beforeAutospacing="0" w:after="210" w:afterAutospacing="0"/>
        <w:rPr>
          <w:rFonts w:ascii="Arial" w:eastAsia="Segoe UI" w:hAnsi="Arial" w:cs="Arial"/>
          <w:b/>
          <w:bCs/>
          <w:color w:val="2C2C36"/>
          <w:spacing w:val="1"/>
          <w:sz w:val="22"/>
          <w:szCs w:val="22"/>
          <w:shd w:val="clear" w:color="auto" w:fill="FFFFFF"/>
        </w:rPr>
      </w:pPr>
      <w:r>
        <w:rPr>
          <w:rFonts w:ascii="Arial" w:eastAsia="Segoe UI" w:hAnsi="Arial" w:cs="Arial"/>
          <w:b/>
          <w:bCs/>
          <w:color w:val="2C2C36"/>
          <w:spacing w:val="1"/>
          <w:sz w:val="22"/>
          <w:szCs w:val="22"/>
          <w:shd w:val="clear" w:color="auto" w:fill="FFFFFF"/>
        </w:rPr>
        <w:t>Results</w:t>
      </w:r>
    </w:p>
    <w:p w14:paraId="243ADD58" w14:textId="77777777" w:rsidR="004E0307" w:rsidRDefault="00434A98" w:rsidP="00434A98">
      <w:pPr>
        <w:pStyle w:val="NormalWeb"/>
        <w:widowControl/>
        <w:shd w:val="clear" w:color="auto" w:fill="FFFFFF"/>
        <w:spacing w:before="210" w:beforeAutospacing="0" w:after="210" w:afterAutospacing="0"/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</w:pP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>Un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targeted </w:t>
      </w:r>
      <w:proofErr w:type="spellStart"/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lipidomics</w:t>
      </w:r>
      <w:proofErr w:type="spellEnd"/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 analysis revealed 160 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hepatic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lipid metabolites showed significant differences between the two genotypes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under HFD feeding conditions, characterized primarily by upregulated triglycerides and downregulated LPC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s </w:t>
      </w:r>
      <w:proofErr w:type="gramStart"/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in  </w:t>
      </w:r>
      <w:proofErr w:type="spellStart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</w:rPr>
        <w:t>SelS</w:t>
      </w:r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H</w:t>
      </w:r>
      <w:proofErr w:type="spellEnd"/>
      <w:proofErr w:type="gramEnd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-KO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  <w:vertAlign w:val="superscript"/>
        </w:rPr>
        <w:t xml:space="preserve"> 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mice compared to </w:t>
      </w:r>
      <w:proofErr w:type="spellStart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</w:rPr>
        <w:t>SelS</w:t>
      </w:r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F</w:t>
      </w:r>
      <w:proofErr w:type="spellEnd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/F</w:t>
      </w:r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</w:rPr>
        <w:t xml:space="preserve">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mice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>. S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erum LPC concentrations were elevated in </w:t>
      </w:r>
      <w:proofErr w:type="spellStart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</w:rPr>
        <w:t>SelS</w:t>
      </w:r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H</w:t>
      </w:r>
      <w:proofErr w:type="spellEnd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-KO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  <w:vertAlign w:val="superscript"/>
        </w:rPr>
        <w:t xml:space="preserve"> 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>mice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, while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hepatic LPC levels were reduced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 in </w:t>
      </w:r>
      <w:proofErr w:type="spellStart"/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S</w:t>
      </w:r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</w:rPr>
        <w:t>elS</w:t>
      </w:r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H</w:t>
      </w:r>
      <w:proofErr w:type="spellEnd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-KO</w:t>
      </w:r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</w:rPr>
        <w:t xml:space="preserve">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mice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 under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HFD 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feeding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conditions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. </w:t>
      </w:r>
    </w:p>
    <w:p w14:paraId="2AA27940" w14:textId="77777777" w:rsidR="004E0307" w:rsidRDefault="00434A98" w:rsidP="00434A98">
      <w:pPr>
        <w:pStyle w:val="NormalWeb"/>
        <w:widowControl/>
        <w:shd w:val="clear" w:color="auto" w:fill="FFFFFF"/>
        <w:spacing w:before="210" w:beforeAutospacing="0" w:after="210" w:afterAutospacing="0"/>
        <w:rPr>
          <w:rFonts w:ascii="Arial" w:eastAsia="Segoe UI" w:hAnsi="Arial" w:cs="Arial"/>
          <w:color w:val="2C2C36"/>
          <w:spacing w:val="1"/>
          <w:sz w:val="22"/>
          <w:szCs w:val="22"/>
        </w:rPr>
      </w:pP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>Both hepatic ATX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 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mRNA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expression 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>and protein levels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, as well as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 serum ATX levels were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increased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 in </w:t>
      </w:r>
      <w:proofErr w:type="spellStart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</w:rPr>
        <w:t>SelS</w:t>
      </w:r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H</w:t>
      </w:r>
      <w:proofErr w:type="spellEnd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-KO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  <w:vertAlign w:val="superscript"/>
        </w:rPr>
        <w:t xml:space="preserve"> 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mice, which facilitated 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the conversion of LPC into LPA. 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As expected, serum LPA levels and LPA-binding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G protein-coupled receptor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 expression were increased in </w:t>
      </w:r>
      <w:proofErr w:type="spellStart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</w:rPr>
        <w:t>SelS</w:t>
      </w:r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H</w:t>
      </w:r>
      <w:proofErr w:type="spellEnd"/>
      <w:r>
        <w:rPr>
          <w:rFonts w:ascii="Arial" w:eastAsia="Segoe UI" w:hAnsi="Arial" w:cs="Arial"/>
          <w:i/>
          <w:iCs/>
          <w:color w:val="2C2C36"/>
          <w:spacing w:val="1"/>
          <w:sz w:val="22"/>
          <w:szCs w:val="22"/>
          <w:shd w:val="clear" w:color="auto" w:fill="FFFFFF"/>
          <w:vertAlign w:val="superscript"/>
        </w:rPr>
        <w:t>-KO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  <w:vertAlign w:val="superscript"/>
        </w:rPr>
        <w:t xml:space="preserve"> 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mice, leading to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extracellular regulated protein kinase (Erk)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 activation and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 peroxisome proliferator-activated receptor α (PPARα) 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>inhibition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, 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>subsequently d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isrupted the FGF21-adiponectin axis, thereby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 contributing to the progression of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MA</w:t>
      </w:r>
      <w:r>
        <w:rPr>
          <w:rFonts w:ascii="Arial" w:eastAsia="SimSun" w:hAnsi="Arial" w:cs="Arial" w:hint="eastAsia"/>
          <w:color w:val="2C2C36"/>
          <w:spacing w:val="1"/>
          <w:sz w:val="22"/>
          <w:szCs w:val="22"/>
          <w:shd w:val="clear" w:color="auto" w:fill="FFFFFF"/>
        </w:rPr>
        <w:t>F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LD.</w:t>
      </w:r>
    </w:p>
    <w:p w14:paraId="2B69ECD2" w14:textId="77777777" w:rsidR="004E0307" w:rsidRDefault="00434A98" w:rsidP="00434A98">
      <w:pPr>
        <w:pStyle w:val="NormalWeb"/>
        <w:widowControl/>
        <w:shd w:val="clear" w:color="auto" w:fill="FFFFFF"/>
        <w:spacing w:before="210" w:beforeAutospacing="0" w:afterAutospacing="0"/>
        <w:rPr>
          <w:rFonts w:ascii="Arial" w:eastAsia="Segoe UI" w:hAnsi="Arial" w:cs="Arial"/>
          <w:b/>
          <w:bCs/>
          <w:color w:val="2C2C36"/>
          <w:spacing w:val="1"/>
          <w:sz w:val="22"/>
          <w:szCs w:val="22"/>
          <w:shd w:val="clear" w:color="auto" w:fill="FFFFFF"/>
        </w:rPr>
      </w:pPr>
      <w:r>
        <w:rPr>
          <w:rFonts w:ascii="Arial" w:eastAsia="Segoe UI" w:hAnsi="Arial" w:cs="Arial"/>
          <w:b/>
          <w:bCs/>
          <w:color w:val="2C2C36"/>
          <w:spacing w:val="1"/>
          <w:sz w:val="22"/>
          <w:szCs w:val="22"/>
          <w:shd w:val="clear" w:color="auto" w:fill="FFFFFF"/>
        </w:rPr>
        <w:t>Conclusion</w:t>
      </w:r>
    </w:p>
    <w:p w14:paraId="4914B8A4" w14:textId="77777777" w:rsidR="004E0307" w:rsidRDefault="00434A98" w:rsidP="00434A98">
      <w:pPr>
        <w:pStyle w:val="NormalWeb"/>
        <w:widowControl/>
        <w:shd w:val="clear" w:color="auto" w:fill="FFFFFF"/>
        <w:spacing w:before="210" w:beforeAutospacing="0" w:afterAutospacing="0"/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</w:pP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Hepatic </w:t>
      </w:r>
      <w:proofErr w:type="spellStart"/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>SelS</w:t>
      </w:r>
      <w:proofErr w:type="spellEnd"/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 xml:space="preserve"> knockout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 may exacerbate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diet-induced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MA</w:t>
      </w:r>
      <w:r>
        <w:rPr>
          <w:rFonts w:ascii="Arial" w:eastAsia="SimSun" w:hAnsi="Arial" w:cs="Arial" w:hint="eastAsia"/>
          <w:color w:val="2C2C36"/>
          <w:spacing w:val="1"/>
          <w:sz w:val="22"/>
          <w:szCs w:val="22"/>
          <w:shd w:val="clear" w:color="auto" w:fill="FFFFFF"/>
        </w:rPr>
        <w:t>F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LD </w:t>
      </w:r>
      <w:r>
        <w:rPr>
          <w:rFonts w:ascii="Arial" w:eastAsia="SimSun" w:hAnsi="Arial" w:cs="Arial"/>
          <w:color w:val="2C2C36"/>
          <w:spacing w:val="1"/>
          <w:sz w:val="22"/>
          <w:szCs w:val="22"/>
          <w:shd w:val="clear" w:color="auto" w:fill="FFFFFF"/>
        </w:rPr>
        <w:t>through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the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modulation of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LPC-ATX-LPA axis, then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 xml:space="preserve">mediating </w:t>
      </w:r>
      <w:r>
        <w:rPr>
          <w:rFonts w:ascii="Arial" w:eastAsia="Segoe UI" w:hAnsi="Arial" w:cs="Arial"/>
          <w:color w:val="2C2C36"/>
          <w:spacing w:val="1"/>
          <w:sz w:val="22"/>
          <w:szCs w:val="22"/>
          <w:shd w:val="clear" w:color="auto" w:fill="FFFFFF"/>
        </w:rPr>
        <w:t>FGF21-adiponectin axis to maintain glycolipid metabolic homeostasis.</w:t>
      </w:r>
    </w:p>
    <w:p w14:paraId="593245D6" w14:textId="77777777" w:rsidR="004E0307" w:rsidRDefault="004E0307" w:rsidP="00434A98">
      <w:pPr>
        <w:jc w:val="left"/>
        <w:rPr>
          <w:rFonts w:ascii="Arial" w:hAnsi="Arial" w:cs="Arial"/>
          <w:sz w:val="22"/>
          <w:szCs w:val="22"/>
        </w:rPr>
      </w:pPr>
    </w:p>
    <w:sectPr w:rsidR="004E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d86a71d2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ED433E"/>
    <w:rsid w:val="001229EC"/>
    <w:rsid w:val="00434A98"/>
    <w:rsid w:val="004E0307"/>
    <w:rsid w:val="009765C2"/>
    <w:rsid w:val="00C70F14"/>
    <w:rsid w:val="054D764F"/>
    <w:rsid w:val="06F32483"/>
    <w:rsid w:val="07BA0003"/>
    <w:rsid w:val="0F6D0952"/>
    <w:rsid w:val="12880204"/>
    <w:rsid w:val="21ED433E"/>
    <w:rsid w:val="2B447310"/>
    <w:rsid w:val="2BDE0783"/>
    <w:rsid w:val="30224D9D"/>
    <w:rsid w:val="35185B27"/>
    <w:rsid w:val="38E25691"/>
    <w:rsid w:val="41281B57"/>
    <w:rsid w:val="4AC41C62"/>
    <w:rsid w:val="60006BE8"/>
    <w:rsid w:val="6FCE29DD"/>
    <w:rsid w:val="74D160CC"/>
    <w:rsid w:val="7A742788"/>
    <w:rsid w:val="7AB3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7E89A"/>
  <w15:docId w15:val="{D356FA1D-8230-4BFD-86BD-42A4EE68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Strong">
    <w:name w:val="Strong"/>
    <w:basedOn w:val="DefaultParagraphFont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2CAF4A-EE24-4782-8C63-99DC8626A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FF02-5939-4A2E-959D-CD2F7DAF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00C17-464F-4AB0-8541-509FC258EA35}">
  <ds:schemaRefs>
    <ds:schemaRef ds:uri="6911e96c-4cc4-42d5-8e43-f93924cf6a0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cab52c9b-ab33-4221-8af9-54f8f2b86a80"/>
    <ds:schemaRef ds:uri="http://schemas.openxmlformats.org/package/2006/metadata/core-properties"/>
    <ds:schemaRef ds:uri="http://purl.org/dc/dcmitype/"/>
    <ds:schemaRef ds:uri="9c8a2b7b-0bee-4c48-b0a6-23db8982d3b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乔陆</dc:creator>
  <cp:lastModifiedBy>Tanya Yandall</cp:lastModifiedBy>
  <cp:revision>3</cp:revision>
  <dcterms:created xsi:type="dcterms:W3CDTF">2025-05-24T00:41:00Z</dcterms:created>
  <dcterms:modified xsi:type="dcterms:W3CDTF">2025-05-24T00:42:00Z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4CF0D5D3F75542F1B3D2B465A2AA00FC_11</vt:lpwstr>
  </property>
  <property fmtid="{D5CDD505-2E9C-101B-9397-08002B2CF9AE}" pid="4" name="KSOTemplateDocerSaveRecord">
    <vt:lpwstr>eyJoZGlkIjoiMjJlY2UzOTNmMDkyMjRlMzA4NTViYTEyN2MzY2U4ZDgiLCJ1c2VySWQiOiIyNTIxOTQ4NTcifQ==</vt:lpwstr>
  </property>
  <property fmtid="{D5CDD505-2E9C-101B-9397-08002B2CF9AE}" pid="5" name="ContentTypeId">
    <vt:lpwstr>0x01010004DB0B76CE105D459F58063C0D0B3831</vt:lpwstr>
  </property>
  <property fmtid="{D5CDD505-2E9C-101B-9397-08002B2CF9AE}" pid="6" name="MediaServiceImageTags">
    <vt:lpwstr/>
  </property>
</Properties>
</file>