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3"/>
      </w:tblGrid>
      <w:tr w:rsidR="001564A4" w:rsidRPr="00B72E8A" w14:paraId="5C38377B" w14:textId="77777777" w:rsidTr="00B72E8A">
        <w:trPr>
          <w:trHeight w:val="671"/>
          <w:jc w:val="center"/>
        </w:trPr>
        <w:tc>
          <w:tcPr>
            <w:tcW w:w="8913" w:type="dxa"/>
            <w:shd w:val="clear" w:color="auto" w:fill="auto"/>
          </w:tcPr>
          <w:p w14:paraId="5C44F357" w14:textId="7F48A2D9" w:rsidR="001564A4" w:rsidRPr="00B72E8A" w:rsidRDefault="0057195A" w:rsidP="000A28E2">
            <w:pPr>
              <w:spacing w:before="120" w:after="120"/>
              <w:rPr>
                <w:rFonts w:ascii="Arial" w:hAnsi="Arial" w:cs="Arial"/>
                <w:b/>
                <w:sz w:val="22"/>
                <w:szCs w:val="22"/>
                <w:lang w:val="en-US" w:eastAsia="zh-CN"/>
              </w:rPr>
            </w:pPr>
            <w:r w:rsidRPr="00B72E8A">
              <w:rPr>
                <w:rFonts w:ascii="Arial" w:hAnsi="Arial" w:cs="Arial"/>
                <w:b/>
                <w:sz w:val="22"/>
                <w:szCs w:val="22"/>
                <w:lang w:val="en-US" w:eastAsia="en-GB"/>
              </w:rPr>
              <w:t>A</w:t>
            </w:r>
            <w:r w:rsidR="009E2676" w:rsidRPr="00B72E8A">
              <w:rPr>
                <w:rFonts w:ascii="Arial" w:hAnsi="Arial" w:cs="Arial"/>
                <w:b/>
                <w:sz w:val="22"/>
                <w:szCs w:val="22"/>
                <w:lang w:val="en-US" w:eastAsia="en-GB"/>
              </w:rPr>
              <w:t xml:space="preserve">ntifibrotic </w:t>
            </w:r>
            <w:r w:rsidRPr="00B72E8A">
              <w:rPr>
                <w:rFonts w:ascii="Arial" w:hAnsi="Arial" w:cs="Arial"/>
                <w:b/>
                <w:sz w:val="22"/>
                <w:szCs w:val="22"/>
                <w:lang w:val="en-US" w:eastAsia="en-GB"/>
              </w:rPr>
              <w:t xml:space="preserve">assessment and </w:t>
            </w:r>
            <w:r w:rsidR="009E2676" w:rsidRPr="00B72E8A">
              <w:rPr>
                <w:rFonts w:ascii="Arial" w:hAnsi="Arial" w:cs="Arial"/>
                <w:b/>
                <w:sz w:val="22"/>
                <w:szCs w:val="22"/>
                <w:lang w:val="en-US" w:eastAsia="en-GB"/>
              </w:rPr>
              <w:t>treatment</w:t>
            </w:r>
            <w:r w:rsidRPr="00B72E8A">
              <w:rPr>
                <w:rFonts w:ascii="Arial" w:hAnsi="Arial" w:cs="Arial"/>
                <w:b/>
                <w:sz w:val="22"/>
                <w:szCs w:val="22"/>
                <w:lang w:val="en-US" w:eastAsia="en-GB"/>
              </w:rPr>
              <w:t xml:space="preserve"> outcomes </w:t>
            </w:r>
            <w:r w:rsidR="009E2676" w:rsidRPr="00B72E8A">
              <w:rPr>
                <w:rFonts w:ascii="Arial" w:hAnsi="Arial" w:cs="Arial"/>
                <w:b/>
                <w:sz w:val="22"/>
                <w:szCs w:val="22"/>
                <w:lang w:val="en-US" w:eastAsia="en-GB"/>
              </w:rPr>
              <w:t xml:space="preserve">in </w:t>
            </w:r>
            <w:r w:rsidRPr="00B72E8A">
              <w:rPr>
                <w:rFonts w:ascii="Arial" w:hAnsi="Arial" w:cs="Arial"/>
                <w:b/>
                <w:sz w:val="22"/>
                <w:szCs w:val="22"/>
                <w:lang w:val="en-US" w:eastAsia="en-GB"/>
              </w:rPr>
              <w:t xml:space="preserve">a tertiary hospital in </w:t>
            </w:r>
            <w:r w:rsidR="007057F8">
              <w:rPr>
                <w:rFonts w:ascii="Arial" w:hAnsi="Arial" w:cs="Arial"/>
                <w:b/>
                <w:sz w:val="22"/>
                <w:szCs w:val="22"/>
                <w:lang w:val="en-US" w:eastAsia="en-GB"/>
              </w:rPr>
              <w:t>Western Australia</w:t>
            </w:r>
            <w:r w:rsidR="00894AB1" w:rsidRPr="00B72E8A">
              <w:rPr>
                <w:rFonts w:ascii="Arial" w:hAnsi="Arial" w:cs="Arial"/>
                <w:b/>
                <w:sz w:val="22"/>
                <w:szCs w:val="22"/>
                <w:lang w:val="en-US" w:eastAsia="en-GB"/>
              </w:rPr>
              <w:t xml:space="preserve"> </w:t>
            </w:r>
          </w:p>
        </w:tc>
      </w:tr>
      <w:tr w:rsidR="001564A4" w:rsidRPr="00B72E8A" w14:paraId="0E2E035C" w14:textId="77777777" w:rsidTr="00B72E8A">
        <w:trPr>
          <w:trHeight w:val="671"/>
          <w:jc w:val="center"/>
        </w:trPr>
        <w:tc>
          <w:tcPr>
            <w:tcW w:w="8913" w:type="dxa"/>
            <w:shd w:val="clear" w:color="auto" w:fill="auto"/>
          </w:tcPr>
          <w:p w14:paraId="73B55295" w14:textId="54C55786" w:rsidR="001564A4" w:rsidRPr="00B72E8A" w:rsidRDefault="007E6C0D" w:rsidP="000A28E2">
            <w:pPr>
              <w:spacing w:before="120" w:after="120"/>
              <w:rPr>
                <w:rFonts w:ascii="Arial" w:hAnsi="Arial" w:cs="Arial"/>
                <w:sz w:val="22"/>
                <w:szCs w:val="22"/>
                <w:u w:val="single"/>
                <w:lang w:eastAsia="zh-CN"/>
              </w:rPr>
            </w:pPr>
            <w:r w:rsidRPr="00B72E8A">
              <w:rPr>
                <w:rFonts w:ascii="Arial" w:hAnsi="Arial" w:cs="Arial"/>
                <w:sz w:val="22"/>
                <w:szCs w:val="22"/>
                <w:lang w:val="en-US" w:eastAsia="en-GB"/>
              </w:rPr>
              <w:t>Anne Johnson</w:t>
            </w:r>
            <w:r w:rsidR="001564A4" w:rsidRPr="00B72E8A">
              <w:rPr>
                <w:rFonts w:ascii="Arial" w:hAnsi="Arial" w:cs="Arial"/>
                <w:sz w:val="22"/>
                <w:szCs w:val="22"/>
                <w:vertAlign w:val="superscript"/>
                <w:lang w:val="en-US" w:eastAsia="en-GB"/>
              </w:rPr>
              <w:t>1</w:t>
            </w:r>
            <w:bookmarkStart w:id="0" w:name="Text8"/>
            <w:r w:rsidR="001564A4" w:rsidRPr="00B72E8A">
              <w:rPr>
                <w:rFonts w:ascii="Arial" w:hAnsi="Arial" w:cs="Arial"/>
                <w:sz w:val="22"/>
                <w:szCs w:val="22"/>
                <w:lang w:val="en-US" w:eastAsia="en-GB"/>
              </w:rPr>
              <w:t>,</w:t>
            </w:r>
            <w:bookmarkEnd w:id="0"/>
            <w:r w:rsidRPr="00B72E8A">
              <w:rPr>
                <w:rFonts w:ascii="Arial" w:hAnsi="Arial" w:cs="Arial"/>
                <w:sz w:val="22"/>
                <w:szCs w:val="22"/>
                <w:lang w:val="en-US" w:eastAsia="en-GB"/>
              </w:rPr>
              <w:t xml:space="preserve"> Irene Moore</w:t>
            </w:r>
            <w:r w:rsidR="0057195A" w:rsidRPr="00B72E8A">
              <w:rPr>
                <w:rFonts w:ascii="Arial" w:hAnsi="Arial" w:cs="Arial"/>
                <w:sz w:val="22"/>
                <w:szCs w:val="22"/>
                <w:vertAlign w:val="superscript"/>
                <w:lang w:val="en-US" w:eastAsia="en-GB"/>
              </w:rPr>
              <w:t>1</w:t>
            </w:r>
          </w:p>
        </w:tc>
      </w:tr>
      <w:tr w:rsidR="001564A4" w:rsidRPr="00B72E8A" w14:paraId="385A19D9" w14:textId="77777777" w:rsidTr="00B72E8A">
        <w:trPr>
          <w:trHeight w:val="204"/>
          <w:jc w:val="center"/>
        </w:trPr>
        <w:tc>
          <w:tcPr>
            <w:tcW w:w="8913" w:type="dxa"/>
            <w:shd w:val="clear" w:color="auto" w:fill="auto"/>
          </w:tcPr>
          <w:p w14:paraId="45ED36BF" w14:textId="015B5338" w:rsidR="001564A4" w:rsidRPr="00B72E8A" w:rsidRDefault="007E6C0D" w:rsidP="000A28E2">
            <w:pPr>
              <w:spacing w:before="120" w:after="120"/>
              <w:rPr>
                <w:rFonts w:ascii="Arial" w:hAnsi="Arial" w:cs="Arial"/>
                <w:i/>
                <w:sz w:val="22"/>
                <w:szCs w:val="22"/>
                <w:lang w:val="en-US" w:eastAsia="en-GB"/>
              </w:rPr>
            </w:pPr>
            <w:r w:rsidRPr="00B72E8A">
              <w:rPr>
                <w:rFonts w:ascii="Arial" w:hAnsi="Arial" w:cs="Arial"/>
                <w:i/>
                <w:sz w:val="22"/>
                <w:szCs w:val="22"/>
                <w:vertAlign w:val="superscript"/>
                <w:lang w:val="en-US" w:eastAsia="en-GB"/>
              </w:rPr>
              <w:t xml:space="preserve">1 </w:t>
            </w:r>
            <w:r w:rsidRPr="00B72E8A">
              <w:rPr>
                <w:rFonts w:ascii="Arial" w:hAnsi="Arial" w:cs="Arial"/>
                <w:i/>
                <w:sz w:val="22"/>
                <w:szCs w:val="22"/>
                <w:lang w:val="en-US" w:eastAsia="en-GB"/>
              </w:rPr>
              <w:t>R</w:t>
            </w:r>
            <w:r w:rsidR="00894AB1" w:rsidRPr="00B72E8A">
              <w:rPr>
                <w:rFonts w:ascii="Arial" w:hAnsi="Arial" w:cs="Arial"/>
                <w:i/>
                <w:sz w:val="22"/>
                <w:szCs w:val="22"/>
                <w:lang w:val="en-US" w:eastAsia="en-GB"/>
              </w:rPr>
              <w:t>espiratory Department, R</w:t>
            </w:r>
            <w:r w:rsidRPr="00B72E8A">
              <w:rPr>
                <w:rFonts w:ascii="Arial" w:hAnsi="Arial" w:cs="Arial"/>
                <w:i/>
                <w:sz w:val="22"/>
                <w:szCs w:val="22"/>
                <w:lang w:val="en-US" w:eastAsia="en-GB"/>
              </w:rPr>
              <w:t>oyal Perth Hospital</w:t>
            </w:r>
            <w:r w:rsidR="00894AB1" w:rsidRPr="00B72E8A">
              <w:rPr>
                <w:rFonts w:ascii="Arial" w:hAnsi="Arial" w:cs="Arial"/>
                <w:i/>
                <w:sz w:val="22"/>
                <w:szCs w:val="22"/>
                <w:lang w:val="en-US" w:eastAsia="en-GB"/>
              </w:rPr>
              <w:t xml:space="preserve">, Western Australia </w:t>
            </w:r>
          </w:p>
        </w:tc>
      </w:tr>
      <w:tr w:rsidR="001564A4" w:rsidRPr="00B72E8A" w14:paraId="6DAF615A" w14:textId="77777777" w:rsidTr="00B72E8A">
        <w:trPr>
          <w:trHeight w:hRule="exact" w:val="11148"/>
          <w:jc w:val="center"/>
        </w:trPr>
        <w:tc>
          <w:tcPr>
            <w:tcW w:w="8913" w:type="dxa"/>
            <w:shd w:val="clear" w:color="auto" w:fill="auto"/>
          </w:tcPr>
          <w:p w14:paraId="739E7937" w14:textId="77777777" w:rsidR="001564A4" w:rsidRPr="00B72E8A" w:rsidRDefault="001564A4" w:rsidP="000A28E2">
            <w:pPr>
              <w:pStyle w:val="Pa12"/>
              <w:rPr>
                <w:rStyle w:val="A4"/>
              </w:rPr>
            </w:pPr>
            <w:r w:rsidRPr="00B72E8A">
              <w:rPr>
                <w:rStyle w:val="A4"/>
                <w:b/>
                <w:bCs/>
              </w:rPr>
              <w:t xml:space="preserve">Introduction/Aim: </w:t>
            </w:r>
          </w:p>
          <w:p w14:paraId="219D1597" w14:textId="25285D8B" w:rsidR="001564A4" w:rsidRPr="00B72E8A" w:rsidRDefault="00710D64" w:rsidP="00606E90">
            <w:pPr>
              <w:pStyle w:val="Pa12"/>
              <w:jc w:val="both"/>
              <w:rPr>
                <w:sz w:val="22"/>
                <w:szCs w:val="22"/>
              </w:rPr>
            </w:pPr>
            <w:r w:rsidRPr="00B72E8A">
              <w:rPr>
                <w:sz w:val="22"/>
                <w:szCs w:val="22"/>
              </w:rPr>
              <w:t xml:space="preserve">Interstitial </w:t>
            </w:r>
            <w:r w:rsidR="0057195A" w:rsidRPr="00B72E8A">
              <w:rPr>
                <w:sz w:val="22"/>
                <w:szCs w:val="22"/>
              </w:rPr>
              <w:t>l</w:t>
            </w:r>
            <w:r w:rsidRPr="00B72E8A">
              <w:rPr>
                <w:sz w:val="22"/>
                <w:szCs w:val="22"/>
              </w:rPr>
              <w:t xml:space="preserve">ung </w:t>
            </w:r>
            <w:r w:rsidR="0057195A" w:rsidRPr="00B72E8A">
              <w:rPr>
                <w:sz w:val="22"/>
                <w:szCs w:val="22"/>
              </w:rPr>
              <w:t>d</w:t>
            </w:r>
            <w:r w:rsidRPr="00B72E8A">
              <w:rPr>
                <w:sz w:val="22"/>
                <w:szCs w:val="22"/>
              </w:rPr>
              <w:t>isease (</w:t>
            </w:r>
            <w:r w:rsidR="007C1F43" w:rsidRPr="00B72E8A">
              <w:rPr>
                <w:sz w:val="22"/>
                <w:szCs w:val="22"/>
              </w:rPr>
              <w:t>ILD</w:t>
            </w:r>
            <w:r w:rsidRPr="00B72E8A">
              <w:rPr>
                <w:sz w:val="22"/>
                <w:szCs w:val="22"/>
              </w:rPr>
              <w:t>) is a group of heterogenous parenchymal lung disorders</w:t>
            </w:r>
            <w:r w:rsidR="0082358E" w:rsidRPr="00B72E8A">
              <w:rPr>
                <w:sz w:val="22"/>
                <w:szCs w:val="22"/>
              </w:rPr>
              <w:t xml:space="preserve"> </w:t>
            </w:r>
            <w:r w:rsidR="00FA4399" w:rsidRPr="00B72E8A">
              <w:rPr>
                <w:sz w:val="22"/>
                <w:szCs w:val="22"/>
              </w:rPr>
              <w:t>with</w:t>
            </w:r>
            <w:r w:rsidRPr="00B72E8A">
              <w:rPr>
                <w:sz w:val="22"/>
                <w:szCs w:val="22"/>
              </w:rPr>
              <w:t xml:space="preserve"> significant morbidity </w:t>
            </w:r>
            <w:r w:rsidR="00DB29F7" w:rsidRPr="00B72E8A">
              <w:rPr>
                <w:sz w:val="22"/>
                <w:szCs w:val="22"/>
              </w:rPr>
              <w:t>and mortality</w:t>
            </w:r>
            <w:r w:rsidRPr="00B72E8A">
              <w:rPr>
                <w:sz w:val="22"/>
                <w:szCs w:val="22"/>
              </w:rPr>
              <w:t xml:space="preserve">. </w:t>
            </w:r>
            <w:r w:rsidR="0057195A" w:rsidRPr="00B72E8A">
              <w:rPr>
                <w:sz w:val="22"/>
                <w:szCs w:val="22"/>
              </w:rPr>
              <w:t>Antifibrotic therapy has proven benefit in disease deceleration in both idiopathic pulmonary fibrosis</w:t>
            </w:r>
            <w:r w:rsidR="00DE4B21" w:rsidRPr="00B72E8A">
              <w:rPr>
                <w:sz w:val="22"/>
                <w:szCs w:val="22"/>
              </w:rPr>
              <w:t xml:space="preserve"> (IPF)</w:t>
            </w:r>
            <w:r w:rsidR="0057195A" w:rsidRPr="00B72E8A">
              <w:rPr>
                <w:sz w:val="22"/>
                <w:szCs w:val="22"/>
              </w:rPr>
              <w:t xml:space="preserve"> and clinically progressive fibrotic phenotypes</w:t>
            </w:r>
            <w:r w:rsidR="00DE4B21" w:rsidRPr="00B72E8A">
              <w:rPr>
                <w:sz w:val="22"/>
                <w:szCs w:val="22"/>
              </w:rPr>
              <w:t xml:space="preserve"> (PF-ILD)</w:t>
            </w:r>
            <w:r w:rsidR="0057195A" w:rsidRPr="00B72E8A">
              <w:rPr>
                <w:sz w:val="22"/>
                <w:szCs w:val="22"/>
              </w:rPr>
              <w:t xml:space="preserve">.  Reported side effects are common and </w:t>
            </w:r>
            <w:r w:rsidR="00DE4B21" w:rsidRPr="00B72E8A">
              <w:rPr>
                <w:sz w:val="22"/>
                <w:szCs w:val="22"/>
              </w:rPr>
              <w:t xml:space="preserve">can </w:t>
            </w:r>
            <w:r w:rsidR="0057195A" w:rsidRPr="00B72E8A">
              <w:rPr>
                <w:sz w:val="22"/>
                <w:szCs w:val="22"/>
              </w:rPr>
              <w:t xml:space="preserve">lead to discontinuation in some cases.  We aim to </w:t>
            </w:r>
            <w:r w:rsidR="00E76462" w:rsidRPr="00B72E8A">
              <w:rPr>
                <w:sz w:val="22"/>
                <w:szCs w:val="22"/>
              </w:rPr>
              <w:t>evaluate</w:t>
            </w:r>
            <w:r w:rsidR="007E6C0D" w:rsidRPr="00B72E8A">
              <w:rPr>
                <w:sz w:val="22"/>
                <w:szCs w:val="22"/>
              </w:rPr>
              <w:t xml:space="preserve"> choice of medication and </w:t>
            </w:r>
            <w:r w:rsidR="00DE4B21" w:rsidRPr="00B72E8A">
              <w:rPr>
                <w:sz w:val="22"/>
                <w:szCs w:val="22"/>
              </w:rPr>
              <w:t>adverse incidents in ILD patients prescribed anti-fibrotics in our hospital.</w:t>
            </w:r>
            <w:r w:rsidR="00B073AD" w:rsidRPr="00B72E8A">
              <w:rPr>
                <w:sz w:val="22"/>
                <w:szCs w:val="22"/>
              </w:rPr>
              <w:t xml:space="preserve"> </w:t>
            </w:r>
          </w:p>
          <w:p w14:paraId="3D770CF7" w14:textId="77777777" w:rsidR="001564A4" w:rsidRPr="00B72E8A" w:rsidRDefault="001564A4" w:rsidP="000A28E2">
            <w:pPr>
              <w:pStyle w:val="Pa12"/>
              <w:rPr>
                <w:rStyle w:val="A4"/>
                <w:bCs/>
              </w:rPr>
            </w:pPr>
          </w:p>
          <w:p w14:paraId="1B39336E" w14:textId="77777777" w:rsidR="001564A4" w:rsidRPr="00B72E8A" w:rsidRDefault="001564A4" w:rsidP="000A28E2">
            <w:pPr>
              <w:pStyle w:val="Pa12"/>
              <w:rPr>
                <w:rStyle w:val="A4"/>
                <w:b/>
                <w:bCs/>
              </w:rPr>
            </w:pPr>
            <w:r w:rsidRPr="00B72E8A">
              <w:rPr>
                <w:rStyle w:val="A4"/>
                <w:b/>
                <w:bCs/>
              </w:rPr>
              <w:t xml:space="preserve">Methods: </w:t>
            </w:r>
          </w:p>
          <w:p w14:paraId="70A39F78" w14:textId="26B5E41E" w:rsidR="001564A4" w:rsidRPr="00B72E8A" w:rsidRDefault="00DE4B21" w:rsidP="00606E90">
            <w:pPr>
              <w:pStyle w:val="Pa12"/>
              <w:jc w:val="both"/>
              <w:rPr>
                <w:sz w:val="22"/>
                <w:szCs w:val="22"/>
              </w:rPr>
            </w:pPr>
            <w:r w:rsidRPr="00B72E8A">
              <w:rPr>
                <w:sz w:val="22"/>
                <w:szCs w:val="22"/>
              </w:rPr>
              <w:t>A</w:t>
            </w:r>
            <w:r w:rsidR="00FA4399" w:rsidRPr="00B72E8A">
              <w:rPr>
                <w:sz w:val="22"/>
                <w:szCs w:val="22"/>
              </w:rPr>
              <w:t xml:space="preserve"> retrospective </w:t>
            </w:r>
            <w:r w:rsidR="00ED4EBA" w:rsidRPr="00B72E8A">
              <w:rPr>
                <w:sz w:val="22"/>
                <w:szCs w:val="22"/>
              </w:rPr>
              <w:t>audit</w:t>
            </w:r>
            <w:r w:rsidR="00FA4399" w:rsidRPr="00B72E8A">
              <w:rPr>
                <w:sz w:val="22"/>
                <w:szCs w:val="22"/>
              </w:rPr>
              <w:t xml:space="preserve"> </w:t>
            </w:r>
            <w:r w:rsidRPr="00B72E8A">
              <w:rPr>
                <w:sz w:val="22"/>
                <w:szCs w:val="22"/>
              </w:rPr>
              <w:t xml:space="preserve">of patients </w:t>
            </w:r>
            <w:r w:rsidR="002508EA" w:rsidRPr="00B72E8A">
              <w:rPr>
                <w:sz w:val="22"/>
                <w:szCs w:val="22"/>
              </w:rPr>
              <w:t>registered on</w:t>
            </w:r>
            <w:r w:rsidRPr="00B72E8A">
              <w:rPr>
                <w:sz w:val="22"/>
                <w:szCs w:val="22"/>
              </w:rPr>
              <w:t xml:space="preserve"> our </w:t>
            </w:r>
            <w:r w:rsidR="00FA4399" w:rsidRPr="00B72E8A">
              <w:rPr>
                <w:sz w:val="22"/>
                <w:szCs w:val="22"/>
              </w:rPr>
              <w:t>ILD</w:t>
            </w:r>
            <w:r w:rsidRPr="00B72E8A">
              <w:rPr>
                <w:sz w:val="22"/>
                <w:szCs w:val="22"/>
              </w:rPr>
              <w:t xml:space="preserve"> multi-disciplinary meeting (MDM)</w:t>
            </w:r>
            <w:r w:rsidR="00FA4399" w:rsidRPr="00B72E8A">
              <w:rPr>
                <w:sz w:val="22"/>
                <w:szCs w:val="22"/>
              </w:rPr>
              <w:t xml:space="preserve"> </w:t>
            </w:r>
            <w:r w:rsidRPr="00B72E8A">
              <w:rPr>
                <w:sz w:val="22"/>
                <w:szCs w:val="22"/>
              </w:rPr>
              <w:t xml:space="preserve">database </w:t>
            </w:r>
            <w:r w:rsidR="00FA4399" w:rsidRPr="00B72E8A">
              <w:rPr>
                <w:sz w:val="22"/>
                <w:szCs w:val="22"/>
              </w:rPr>
              <w:t>between 21</w:t>
            </w:r>
            <w:r w:rsidR="00FA4399" w:rsidRPr="00B72E8A">
              <w:rPr>
                <w:sz w:val="22"/>
                <w:szCs w:val="22"/>
                <w:vertAlign w:val="superscript"/>
              </w:rPr>
              <w:t>st</w:t>
            </w:r>
            <w:r w:rsidR="00FA4399" w:rsidRPr="00B72E8A">
              <w:rPr>
                <w:sz w:val="22"/>
                <w:szCs w:val="22"/>
              </w:rPr>
              <w:t xml:space="preserve"> July 2022 and 27</w:t>
            </w:r>
            <w:r w:rsidR="00FA4399" w:rsidRPr="00B72E8A">
              <w:rPr>
                <w:sz w:val="22"/>
                <w:szCs w:val="22"/>
                <w:vertAlign w:val="superscript"/>
              </w:rPr>
              <w:t>th</w:t>
            </w:r>
            <w:r w:rsidR="00FA4399" w:rsidRPr="00B72E8A">
              <w:rPr>
                <w:sz w:val="22"/>
                <w:szCs w:val="22"/>
              </w:rPr>
              <w:t xml:space="preserve"> July 2023</w:t>
            </w:r>
            <w:r w:rsidRPr="00B72E8A">
              <w:rPr>
                <w:sz w:val="22"/>
                <w:szCs w:val="22"/>
              </w:rPr>
              <w:t xml:space="preserve"> </w:t>
            </w:r>
            <w:r w:rsidR="00FA4399" w:rsidRPr="00B72E8A">
              <w:rPr>
                <w:sz w:val="22"/>
                <w:szCs w:val="22"/>
              </w:rPr>
              <w:t>inclusive</w:t>
            </w:r>
            <w:r w:rsidRPr="00B72E8A">
              <w:rPr>
                <w:sz w:val="22"/>
                <w:szCs w:val="22"/>
              </w:rPr>
              <w:t xml:space="preserve"> was performed</w:t>
            </w:r>
            <w:r w:rsidR="00FA4399" w:rsidRPr="00B72E8A">
              <w:rPr>
                <w:sz w:val="22"/>
                <w:szCs w:val="22"/>
              </w:rPr>
              <w:t xml:space="preserve">. </w:t>
            </w:r>
            <w:r w:rsidR="00ED4EBA" w:rsidRPr="00B72E8A">
              <w:rPr>
                <w:sz w:val="22"/>
                <w:szCs w:val="22"/>
              </w:rPr>
              <w:t xml:space="preserve">Additional information was collated from follow up clinic letters.  </w:t>
            </w:r>
            <w:r w:rsidRPr="00B72E8A">
              <w:rPr>
                <w:sz w:val="22"/>
                <w:szCs w:val="22"/>
              </w:rPr>
              <w:t xml:space="preserve">Data was collected on basic demographics, ILD diagnosis, baseline functional assessments, </w:t>
            </w:r>
            <w:r w:rsidR="002508EA" w:rsidRPr="00B72E8A">
              <w:rPr>
                <w:sz w:val="22"/>
                <w:szCs w:val="22"/>
              </w:rPr>
              <w:t xml:space="preserve">liver function testing </w:t>
            </w:r>
            <w:r w:rsidRPr="00B72E8A">
              <w:rPr>
                <w:sz w:val="22"/>
                <w:szCs w:val="22"/>
              </w:rPr>
              <w:t>and</w:t>
            </w:r>
            <w:r w:rsidR="002508EA" w:rsidRPr="00B72E8A">
              <w:rPr>
                <w:sz w:val="22"/>
                <w:szCs w:val="22"/>
              </w:rPr>
              <w:t xml:space="preserve"> reported </w:t>
            </w:r>
            <w:r w:rsidRPr="00B72E8A">
              <w:rPr>
                <w:sz w:val="22"/>
                <w:szCs w:val="22"/>
              </w:rPr>
              <w:t>anti-fibrotic</w:t>
            </w:r>
            <w:r w:rsidR="002508EA" w:rsidRPr="00B72E8A">
              <w:rPr>
                <w:sz w:val="22"/>
                <w:szCs w:val="22"/>
              </w:rPr>
              <w:t xml:space="preserve"> related</w:t>
            </w:r>
            <w:r w:rsidRPr="00B72E8A">
              <w:rPr>
                <w:sz w:val="22"/>
                <w:szCs w:val="22"/>
              </w:rPr>
              <w:t xml:space="preserve"> adverse incidents. </w:t>
            </w:r>
          </w:p>
          <w:p w14:paraId="5029BAE6" w14:textId="77777777" w:rsidR="001564A4" w:rsidRPr="00B72E8A" w:rsidRDefault="001564A4" w:rsidP="000A28E2">
            <w:pPr>
              <w:pStyle w:val="Pa12"/>
              <w:rPr>
                <w:rStyle w:val="A4"/>
                <w:bCs/>
              </w:rPr>
            </w:pPr>
          </w:p>
          <w:p w14:paraId="18F77515" w14:textId="3CC144FB" w:rsidR="001564A4" w:rsidRPr="00B72E8A" w:rsidRDefault="001564A4" w:rsidP="000A28E2">
            <w:pPr>
              <w:pStyle w:val="Pa12"/>
              <w:rPr>
                <w:b/>
                <w:bCs/>
                <w:color w:val="000000"/>
                <w:sz w:val="22"/>
                <w:szCs w:val="22"/>
              </w:rPr>
            </w:pPr>
            <w:r w:rsidRPr="00B72E8A">
              <w:rPr>
                <w:rStyle w:val="A4"/>
                <w:b/>
                <w:bCs/>
              </w:rPr>
              <w:t xml:space="preserve">Results: </w:t>
            </w:r>
          </w:p>
          <w:p w14:paraId="328E14FD" w14:textId="24BEB23D" w:rsidR="00ED4EBA" w:rsidRPr="00B72E8A" w:rsidRDefault="00ED4EBA" w:rsidP="00606E90">
            <w:pPr>
              <w:pStyle w:val="Pa12"/>
              <w:jc w:val="both"/>
              <w:rPr>
                <w:sz w:val="22"/>
                <w:szCs w:val="22"/>
              </w:rPr>
            </w:pPr>
            <w:r w:rsidRPr="00B72E8A">
              <w:rPr>
                <w:rStyle w:val="A4"/>
                <w:bCs/>
              </w:rPr>
              <w:t xml:space="preserve">A total of </w:t>
            </w:r>
            <w:r w:rsidR="00F83CF3" w:rsidRPr="00B72E8A">
              <w:rPr>
                <w:rStyle w:val="A4"/>
                <w:bCs/>
              </w:rPr>
              <w:t>51</w:t>
            </w:r>
            <w:r w:rsidR="001F3A52" w:rsidRPr="00B72E8A">
              <w:rPr>
                <w:rStyle w:val="A4"/>
                <w:bCs/>
              </w:rPr>
              <w:t xml:space="preserve"> patients</w:t>
            </w:r>
            <w:r w:rsidR="002508EA" w:rsidRPr="00B72E8A">
              <w:rPr>
                <w:rStyle w:val="A4"/>
                <w:bCs/>
              </w:rPr>
              <w:t xml:space="preserve"> </w:t>
            </w:r>
            <w:r w:rsidRPr="00B72E8A">
              <w:rPr>
                <w:rStyle w:val="A4"/>
                <w:bCs/>
              </w:rPr>
              <w:t>(</w:t>
            </w:r>
            <w:r w:rsidR="002508EA" w:rsidRPr="00B72E8A">
              <w:rPr>
                <w:rStyle w:val="A4"/>
                <w:bCs/>
              </w:rPr>
              <w:t>from 120 discussions, 42.5%)</w:t>
            </w:r>
            <w:r w:rsidRPr="00B72E8A">
              <w:rPr>
                <w:rStyle w:val="A4"/>
                <w:bCs/>
              </w:rPr>
              <w:t xml:space="preserve"> were considered for antifibrotic therapy</w:t>
            </w:r>
            <w:r w:rsidR="002F44E7" w:rsidRPr="00B72E8A">
              <w:rPr>
                <w:rStyle w:val="A4"/>
                <w:bCs/>
              </w:rPr>
              <w:t xml:space="preserve"> with m</w:t>
            </w:r>
            <w:r w:rsidRPr="00B72E8A">
              <w:rPr>
                <w:rStyle w:val="A4"/>
                <w:bCs/>
              </w:rPr>
              <w:t xml:space="preserve">ean age </w:t>
            </w:r>
            <w:r w:rsidR="00F83CF3" w:rsidRPr="00B72E8A">
              <w:rPr>
                <w:rStyle w:val="A4"/>
                <w:bCs/>
              </w:rPr>
              <w:t>73</w:t>
            </w:r>
            <w:r w:rsidRPr="00B72E8A">
              <w:rPr>
                <w:sz w:val="22"/>
                <w:szCs w:val="22"/>
              </w:rPr>
              <w:t>±</w:t>
            </w:r>
            <w:r w:rsidR="00F83CF3" w:rsidRPr="00B72E8A">
              <w:rPr>
                <w:sz w:val="22"/>
                <w:szCs w:val="22"/>
              </w:rPr>
              <w:t>9</w:t>
            </w:r>
            <w:r w:rsidRPr="00B72E8A">
              <w:rPr>
                <w:sz w:val="22"/>
                <w:szCs w:val="22"/>
              </w:rPr>
              <w:t xml:space="preserve"> </w:t>
            </w:r>
            <w:r w:rsidR="002508EA" w:rsidRPr="00B72E8A">
              <w:rPr>
                <w:sz w:val="22"/>
                <w:szCs w:val="22"/>
              </w:rPr>
              <w:t xml:space="preserve">years </w:t>
            </w:r>
            <w:r w:rsidRPr="00B72E8A">
              <w:rPr>
                <w:sz w:val="22"/>
                <w:szCs w:val="22"/>
              </w:rPr>
              <w:t xml:space="preserve">(compared to </w:t>
            </w:r>
            <w:r w:rsidR="00F83CF3" w:rsidRPr="00B72E8A">
              <w:rPr>
                <w:rStyle w:val="A4"/>
                <w:bCs/>
              </w:rPr>
              <w:t>68</w:t>
            </w:r>
            <w:r w:rsidRPr="00B72E8A">
              <w:rPr>
                <w:sz w:val="22"/>
                <w:szCs w:val="22"/>
              </w:rPr>
              <w:t>±</w:t>
            </w:r>
            <w:r w:rsidR="00F83CF3" w:rsidRPr="00B72E8A">
              <w:rPr>
                <w:sz w:val="22"/>
                <w:szCs w:val="22"/>
              </w:rPr>
              <w:t>13</w:t>
            </w:r>
            <w:r w:rsidRPr="00B72E8A">
              <w:rPr>
                <w:sz w:val="22"/>
                <w:szCs w:val="22"/>
              </w:rPr>
              <w:t xml:space="preserve"> for all registered patients), male sex n=</w:t>
            </w:r>
            <w:r w:rsidR="00F83CF3" w:rsidRPr="00B72E8A">
              <w:rPr>
                <w:sz w:val="22"/>
                <w:szCs w:val="22"/>
              </w:rPr>
              <w:t xml:space="preserve">30 </w:t>
            </w:r>
            <w:r w:rsidRPr="00B72E8A">
              <w:rPr>
                <w:sz w:val="22"/>
                <w:szCs w:val="22"/>
              </w:rPr>
              <w:t>(</w:t>
            </w:r>
            <w:r w:rsidR="00F83CF3" w:rsidRPr="00B72E8A">
              <w:rPr>
                <w:sz w:val="22"/>
                <w:szCs w:val="22"/>
              </w:rPr>
              <w:t>58.8</w:t>
            </w:r>
            <w:r w:rsidRPr="00B72E8A">
              <w:rPr>
                <w:sz w:val="22"/>
                <w:szCs w:val="22"/>
              </w:rPr>
              <w:t xml:space="preserve">%), mean </w:t>
            </w:r>
            <w:r w:rsidR="007057F8">
              <w:rPr>
                <w:sz w:val="22"/>
                <w:szCs w:val="22"/>
              </w:rPr>
              <w:t>body mass index (</w:t>
            </w:r>
            <w:r w:rsidRPr="00B72E8A">
              <w:rPr>
                <w:sz w:val="22"/>
                <w:szCs w:val="22"/>
              </w:rPr>
              <w:t>BMI</w:t>
            </w:r>
            <w:r w:rsidR="007057F8">
              <w:rPr>
                <w:sz w:val="22"/>
                <w:szCs w:val="22"/>
              </w:rPr>
              <w:t>)</w:t>
            </w:r>
            <w:r w:rsidRPr="00B72E8A">
              <w:rPr>
                <w:sz w:val="22"/>
                <w:szCs w:val="22"/>
              </w:rPr>
              <w:t xml:space="preserve"> </w:t>
            </w:r>
            <w:r w:rsidR="00F83CF3" w:rsidRPr="00B72E8A">
              <w:rPr>
                <w:rStyle w:val="A4"/>
                <w:bCs/>
              </w:rPr>
              <w:t>30.2</w:t>
            </w:r>
            <w:r w:rsidRPr="00B72E8A">
              <w:rPr>
                <w:sz w:val="22"/>
                <w:szCs w:val="22"/>
              </w:rPr>
              <w:t>±</w:t>
            </w:r>
            <w:r w:rsidR="00F83CF3" w:rsidRPr="00B72E8A">
              <w:rPr>
                <w:sz w:val="22"/>
                <w:szCs w:val="22"/>
              </w:rPr>
              <w:t>7.9</w:t>
            </w:r>
            <w:r w:rsidRPr="00B72E8A">
              <w:rPr>
                <w:sz w:val="22"/>
                <w:szCs w:val="22"/>
              </w:rPr>
              <w:t xml:space="preserve"> kg/m2, </w:t>
            </w:r>
            <w:r w:rsidR="00F83CF3" w:rsidRPr="00B72E8A">
              <w:rPr>
                <w:sz w:val="22"/>
                <w:szCs w:val="22"/>
              </w:rPr>
              <w:t>n</w:t>
            </w:r>
            <w:r w:rsidRPr="00B72E8A">
              <w:rPr>
                <w:sz w:val="22"/>
                <w:szCs w:val="22"/>
              </w:rPr>
              <w:t xml:space="preserve">ever smokers </w:t>
            </w:r>
            <w:r w:rsidR="00F83CF3" w:rsidRPr="00B72E8A">
              <w:rPr>
                <w:sz w:val="22"/>
                <w:szCs w:val="22"/>
              </w:rPr>
              <w:t>11</w:t>
            </w:r>
            <w:r w:rsidRPr="00B72E8A">
              <w:rPr>
                <w:sz w:val="22"/>
                <w:szCs w:val="22"/>
              </w:rPr>
              <w:t xml:space="preserve"> (</w:t>
            </w:r>
            <w:r w:rsidR="00F83CF3" w:rsidRPr="00B72E8A">
              <w:rPr>
                <w:sz w:val="22"/>
                <w:szCs w:val="22"/>
              </w:rPr>
              <w:t>22</w:t>
            </w:r>
            <w:r w:rsidRPr="00B72E8A">
              <w:rPr>
                <w:sz w:val="22"/>
                <w:szCs w:val="22"/>
              </w:rPr>
              <w:t>%).</w:t>
            </w:r>
            <w:r w:rsidR="004C4428" w:rsidRPr="00B72E8A">
              <w:rPr>
                <w:sz w:val="22"/>
                <w:szCs w:val="22"/>
              </w:rPr>
              <w:t xml:space="preserve"> </w:t>
            </w:r>
            <w:r w:rsidR="00AC03DA" w:rsidRPr="00B72E8A">
              <w:rPr>
                <w:sz w:val="22"/>
                <w:szCs w:val="22"/>
              </w:rPr>
              <w:t>IPF</w:t>
            </w:r>
            <w:r w:rsidR="00C8635D" w:rsidRPr="00B72E8A">
              <w:rPr>
                <w:sz w:val="22"/>
                <w:szCs w:val="22"/>
              </w:rPr>
              <w:t xml:space="preserve"> </w:t>
            </w:r>
            <w:r w:rsidR="003B06D4" w:rsidRPr="00B72E8A">
              <w:rPr>
                <w:sz w:val="22"/>
                <w:szCs w:val="22"/>
              </w:rPr>
              <w:t>was diagnosed</w:t>
            </w:r>
            <w:r w:rsidR="00C8635D" w:rsidRPr="00B72E8A">
              <w:rPr>
                <w:sz w:val="22"/>
                <w:szCs w:val="22"/>
              </w:rPr>
              <w:t xml:space="preserve"> in </w:t>
            </w:r>
            <w:r w:rsidR="00F83CF3" w:rsidRPr="00B72E8A">
              <w:rPr>
                <w:sz w:val="22"/>
                <w:szCs w:val="22"/>
              </w:rPr>
              <w:t>3</w:t>
            </w:r>
            <w:r w:rsidR="006D4CDF" w:rsidRPr="00B72E8A">
              <w:rPr>
                <w:sz w:val="22"/>
                <w:szCs w:val="22"/>
              </w:rPr>
              <w:t>5</w:t>
            </w:r>
            <w:r w:rsidR="002508EA" w:rsidRPr="00B72E8A">
              <w:rPr>
                <w:sz w:val="22"/>
                <w:szCs w:val="22"/>
              </w:rPr>
              <w:t xml:space="preserve"> </w:t>
            </w:r>
            <w:r w:rsidR="00C8635D" w:rsidRPr="00B72E8A">
              <w:rPr>
                <w:sz w:val="22"/>
                <w:szCs w:val="22"/>
              </w:rPr>
              <w:t>(</w:t>
            </w:r>
            <w:r w:rsidR="006D4CDF" w:rsidRPr="00B72E8A">
              <w:rPr>
                <w:sz w:val="22"/>
                <w:szCs w:val="22"/>
              </w:rPr>
              <w:t>68.6</w:t>
            </w:r>
            <w:r w:rsidR="00C8635D" w:rsidRPr="00B72E8A">
              <w:rPr>
                <w:sz w:val="22"/>
                <w:szCs w:val="22"/>
              </w:rPr>
              <w:t>%</w:t>
            </w:r>
            <w:r w:rsidR="00385394" w:rsidRPr="00B72E8A">
              <w:rPr>
                <w:sz w:val="22"/>
                <w:szCs w:val="22"/>
              </w:rPr>
              <w:t>, baseline FVC % predicted 85.7±20.8%)</w:t>
            </w:r>
            <w:r w:rsidR="00DD4449" w:rsidRPr="00B72E8A">
              <w:rPr>
                <w:sz w:val="22"/>
                <w:szCs w:val="22"/>
              </w:rPr>
              <w:t xml:space="preserve"> and</w:t>
            </w:r>
            <w:r w:rsidR="00C8635D" w:rsidRPr="00B72E8A">
              <w:rPr>
                <w:sz w:val="22"/>
                <w:szCs w:val="22"/>
              </w:rPr>
              <w:t xml:space="preserve"> PF-ILD </w:t>
            </w:r>
            <w:r w:rsidR="00DD4449" w:rsidRPr="00B72E8A">
              <w:rPr>
                <w:sz w:val="22"/>
                <w:szCs w:val="22"/>
              </w:rPr>
              <w:t xml:space="preserve">in </w:t>
            </w:r>
            <w:r w:rsidR="00F83CF3" w:rsidRPr="00B72E8A">
              <w:rPr>
                <w:sz w:val="22"/>
                <w:szCs w:val="22"/>
              </w:rPr>
              <w:t>1</w:t>
            </w:r>
            <w:r w:rsidR="006D4CDF" w:rsidRPr="00B72E8A">
              <w:rPr>
                <w:sz w:val="22"/>
                <w:szCs w:val="22"/>
              </w:rPr>
              <w:t>6</w:t>
            </w:r>
            <w:r w:rsidR="00C8635D" w:rsidRPr="00B72E8A">
              <w:rPr>
                <w:sz w:val="22"/>
                <w:szCs w:val="22"/>
              </w:rPr>
              <w:t xml:space="preserve"> (</w:t>
            </w:r>
            <w:r w:rsidR="006D4CDF" w:rsidRPr="00B72E8A">
              <w:rPr>
                <w:sz w:val="22"/>
                <w:szCs w:val="22"/>
              </w:rPr>
              <w:t>31.4</w:t>
            </w:r>
            <w:r w:rsidR="00C8635D" w:rsidRPr="00B72E8A">
              <w:rPr>
                <w:sz w:val="22"/>
                <w:szCs w:val="22"/>
              </w:rPr>
              <w:t>%</w:t>
            </w:r>
            <w:r w:rsidR="00385394" w:rsidRPr="00B72E8A">
              <w:rPr>
                <w:sz w:val="22"/>
                <w:szCs w:val="22"/>
              </w:rPr>
              <w:t>, baseline FVC % predicted</w:t>
            </w:r>
            <w:r w:rsidR="00AA4378">
              <w:rPr>
                <w:sz w:val="22"/>
                <w:szCs w:val="22"/>
              </w:rPr>
              <w:t xml:space="preserve"> </w:t>
            </w:r>
            <w:r w:rsidR="00AA4378">
              <w:rPr>
                <w:rStyle w:val="A4"/>
                <w:bCs/>
              </w:rPr>
              <w:t>(SD)</w:t>
            </w:r>
            <w:r w:rsidR="00385394" w:rsidRPr="00B72E8A">
              <w:rPr>
                <w:sz w:val="22"/>
                <w:szCs w:val="22"/>
              </w:rPr>
              <w:t xml:space="preserve"> </w:t>
            </w:r>
            <w:r w:rsidR="00AC03DA" w:rsidRPr="00B72E8A">
              <w:rPr>
                <w:sz w:val="22"/>
                <w:szCs w:val="22"/>
              </w:rPr>
              <w:t>71.1±20.2%</w:t>
            </w:r>
            <w:r w:rsidR="00C8635D" w:rsidRPr="00B72E8A">
              <w:rPr>
                <w:sz w:val="22"/>
                <w:szCs w:val="22"/>
              </w:rPr>
              <w:t>)</w:t>
            </w:r>
            <w:r w:rsidR="00AC03DA" w:rsidRPr="00B72E8A">
              <w:rPr>
                <w:sz w:val="22"/>
                <w:szCs w:val="22"/>
              </w:rPr>
              <w:t>.  T</w:t>
            </w:r>
            <w:r w:rsidR="00DD4449" w:rsidRPr="00B72E8A">
              <w:rPr>
                <w:sz w:val="22"/>
                <w:szCs w:val="22"/>
              </w:rPr>
              <w:t xml:space="preserve">he </w:t>
            </w:r>
            <w:r w:rsidR="00C8635D" w:rsidRPr="00B72E8A">
              <w:rPr>
                <w:sz w:val="22"/>
                <w:szCs w:val="22"/>
              </w:rPr>
              <w:t xml:space="preserve">most common PF-ILD diagnoses </w:t>
            </w:r>
            <w:r w:rsidR="00AC03DA" w:rsidRPr="00B72E8A">
              <w:rPr>
                <w:sz w:val="22"/>
                <w:szCs w:val="22"/>
              </w:rPr>
              <w:t>were</w:t>
            </w:r>
            <w:r w:rsidR="00F83CF3" w:rsidRPr="00B72E8A">
              <w:rPr>
                <w:sz w:val="22"/>
                <w:szCs w:val="22"/>
              </w:rPr>
              <w:t xml:space="preserve"> connective tissue</w:t>
            </w:r>
            <w:r w:rsidR="001F3A52" w:rsidRPr="00B72E8A">
              <w:rPr>
                <w:sz w:val="22"/>
                <w:szCs w:val="22"/>
              </w:rPr>
              <w:t xml:space="preserve"> disease</w:t>
            </w:r>
            <w:r w:rsidR="00F83CF3" w:rsidRPr="00B72E8A">
              <w:rPr>
                <w:sz w:val="22"/>
                <w:szCs w:val="22"/>
              </w:rPr>
              <w:t xml:space="preserve"> ILD (CTD-ILD), asbestosis and</w:t>
            </w:r>
            <w:r w:rsidR="00C8635D" w:rsidRPr="00B72E8A">
              <w:rPr>
                <w:sz w:val="22"/>
                <w:szCs w:val="22"/>
              </w:rPr>
              <w:t xml:space="preserve"> </w:t>
            </w:r>
            <w:r w:rsidR="002F44E7" w:rsidRPr="00B72E8A">
              <w:rPr>
                <w:sz w:val="22"/>
                <w:szCs w:val="22"/>
              </w:rPr>
              <w:t>u</w:t>
            </w:r>
            <w:r w:rsidR="00F83CF3" w:rsidRPr="00B72E8A">
              <w:rPr>
                <w:sz w:val="22"/>
                <w:szCs w:val="22"/>
              </w:rPr>
              <w:t>nclassifiable ILD</w:t>
            </w:r>
            <w:r w:rsidR="005E2ABE" w:rsidRPr="00B72E8A">
              <w:rPr>
                <w:sz w:val="22"/>
                <w:szCs w:val="22"/>
              </w:rPr>
              <w:t xml:space="preserve"> (</w:t>
            </w:r>
            <w:r w:rsidR="001F3A52" w:rsidRPr="00B72E8A">
              <w:rPr>
                <w:sz w:val="22"/>
                <w:szCs w:val="22"/>
              </w:rPr>
              <w:t>18.8</w:t>
            </w:r>
            <w:r w:rsidR="00F83CF3" w:rsidRPr="00B72E8A">
              <w:rPr>
                <w:sz w:val="22"/>
                <w:szCs w:val="22"/>
              </w:rPr>
              <w:t>%</w:t>
            </w:r>
            <w:r w:rsidR="005E2ABE" w:rsidRPr="00B72E8A">
              <w:rPr>
                <w:sz w:val="22"/>
                <w:szCs w:val="22"/>
              </w:rPr>
              <w:t xml:space="preserve"> each</w:t>
            </w:r>
            <w:r w:rsidR="001F3A52" w:rsidRPr="00B72E8A">
              <w:rPr>
                <w:sz w:val="22"/>
                <w:szCs w:val="22"/>
              </w:rPr>
              <w:t xml:space="preserve"> of PF-ILD total</w:t>
            </w:r>
            <w:r w:rsidR="005E2ABE" w:rsidRPr="00B72E8A">
              <w:rPr>
                <w:sz w:val="22"/>
                <w:szCs w:val="22"/>
              </w:rPr>
              <w:t>)</w:t>
            </w:r>
            <w:r w:rsidR="00F83CF3" w:rsidRPr="00B72E8A">
              <w:rPr>
                <w:sz w:val="22"/>
                <w:szCs w:val="22"/>
              </w:rPr>
              <w:t xml:space="preserve">. </w:t>
            </w:r>
            <w:r w:rsidRPr="00B72E8A">
              <w:rPr>
                <w:sz w:val="22"/>
                <w:szCs w:val="22"/>
              </w:rPr>
              <w:t xml:space="preserve">Of those </w:t>
            </w:r>
            <w:r w:rsidR="00AC03DA" w:rsidRPr="00B72E8A">
              <w:rPr>
                <w:sz w:val="22"/>
                <w:szCs w:val="22"/>
              </w:rPr>
              <w:t>initially assessed</w:t>
            </w:r>
            <w:r w:rsidR="00F83CF3" w:rsidRPr="00B72E8A">
              <w:rPr>
                <w:sz w:val="22"/>
                <w:szCs w:val="22"/>
              </w:rPr>
              <w:t xml:space="preserve"> for</w:t>
            </w:r>
            <w:r w:rsidRPr="00B72E8A">
              <w:rPr>
                <w:sz w:val="22"/>
                <w:szCs w:val="22"/>
              </w:rPr>
              <w:t xml:space="preserve"> antifibrotics</w:t>
            </w:r>
            <w:r w:rsidR="00F83CF3" w:rsidRPr="00B72E8A">
              <w:rPr>
                <w:sz w:val="22"/>
                <w:szCs w:val="22"/>
              </w:rPr>
              <w:t xml:space="preserve">, 1 died prior to </w:t>
            </w:r>
            <w:r w:rsidR="002F44E7" w:rsidRPr="00B72E8A">
              <w:rPr>
                <w:sz w:val="22"/>
                <w:szCs w:val="22"/>
              </w:rPr>
              <w:t xml:space="preserve">commencement </w:t>
            </w:r>
            <w:r w:rsidR="00F83CF3" w:rsidRPr="00B72E8A">
              <w:rPr>
                <w:sz w:val="22"/>
                <w:szCs w:val="22"/>
              </w:rPr>
              <w:t>(1.96%), 7 patients had yet to attend follow</w:t>
            </w:r>
            <w:r w:rsidR="00DD4449" w:rsidRPr="00B72E8A">
              <w:rPr>
                <w:sz w:val="22"/>
                <w:szCs w:val="22"/>
              </w:rPr>
              <w:t>-</w:t>
            </w:r>
            <w:r w:rsidR="00F83CF3" w:rsidRPr="00B72E8A">
              <w:rPr>
                <w:sz w:val="22"/>
                <w:szCs w:val="22"/>
              </w:rPr>
              <w:t xml:space="preserve">up </w:t>
            </w:r>
            <w:r w:rsidR="00C4419A" w:rsidRPr="00B72E8A">
              <w:rPr>
                <w:sz w:val="22"/>
                <w:szCs w:val="22"/>
              </w:rPr>
              <w:t xml:space="preserve">post MDM </w:t>
            </w:r>
            <w:r w:rsidR="00F83CF3" w:rsidRPr="00B72E8A">
              <w:rPr>
                <w:sz w:val="22"/>
                <w:szCs w:val="22"/>
              </w:rPr>
              <w:t xml:space="preserve">(13.7%), 1 patient </w:t>
            </w:r>
            <w:r w:rsidR="00AC03DA" w:rsidRPr="00B72E8A">
              <w:rPr>
                <w:sz w:val="22"/>
                <w:szCs w:val="22"/>
              </w:rPr>
              <w:t xml:space="preserve">had </w:t>
            </w:r>
            <w:r w:rsidR="00F83CF3" w:rsidRPr="00B72E8A">
              <w:rPr>
                <w:sz w:val="22"/>
                <w:szCs w:val="22"/>
              </w:rPr>
              <w:t>pending approval (1.96%)</w:t>
            </w:r>
            <w:r w:rsidR="005E2ABE" w:rsidRPr="00B72E8A">
              <w:rPr>
                <w:sz w:val="22"/>
                <w:szCs w:val="22"/>
              </w:rPr>
              <w:t xml:space="preserve">, </w:t>
            </w:r>
            <w:r w:rsidR="00F83CF3" w:rsidRPr="00B72E8A">
              <w:rPr>
                <w:sz w:val="22"/>
                <w:szCs w:val="22"/>
              </w:rPr>
              <w:t xml:space="preserve">14 patients </w:t>
            </w:r>
            <w:r w:rsidR="002F44E7" w:rsidRPr="00B72E8A">
              <w:rPr>
                <w:sz w:val="22"/>
                <w:szCs w:val="22"/>
              </w:rPr>
              <w:t xml:space="preserve">(27.5%) </w:t>
            </w:r>
            <w:r w:rsidR="00C4419A" w:rsidRPr="00B72E8A">
              <w:rPr>
                <w:sz w:val="22"/>
                <w:szCs w:val="22"/>
              </w:rPr>
              <w:t xml:space="preserve">had </w:t>
            </w:r>
            <w:r w:rsidR="00F83CF3" w:rsidRPr="00B72E8A">
              <w:rPr>
                <w:sz w:val="22"/>
                <w:szCs w:val="22"/>
              </w:rPr>
              <w:t>contraindications</w:t>
            </w:r>
            <w:r w:rsidR="001A3BBE" w:rsidRPr="00B72E8A">
              <w:rPr>
                <w:sz w:val="22"/>
                <w:szCs w:val="22"/>
              </w:rPr>
              <w:t xml:space="preserve"> (namely coexistent obstruction or disease severity)</w:t>
            </w:r>
            <w:r w:rsidR="005E2ABE" w:rsidRPr="00B72E8A">
              <w:rPr>
                <w:sz w:val="22"/>
                <w:szCs w:val="22"/>
              </w:rPr>
              <w:t xml:space="preserve"> and 7 </w:t>
            </w:r>
            <w:r w:rsidR="00AC03DA" w:rsidRPr="00B72E8A">
              <w:rPr>
                <w:sz w:val="22"/>
                <w:szCs w:val="22"/>
              </w:rPr>
              <w:t xml:space="preserve">(13.7%) declined therapy. </w:t>
            </w:r>
            <w:r w:rsidR="004C4428" w:rsidRPr="00B72E8A">
              <w:rPr>
                <w:sz w:val="22"/>
                <w:szCs w:val="22"/>
              </w:rPr>
              <w:t xml:space="preserve">Of </w:t>
            </w:r>
            <w:r w:rsidR="00DD4449" w:rsidRPr="00B72E8A">
              <w:rPr>
                <w:sz w:val="22"/>
                <w:szCs w:val="22"/>
              </w:rPr>
              <w:t xml:space="preserve">the 21 patients that </w:t>
            </w:r>
            <w:r w:rsidR="002E7E9B" w:rsidRPr="00B72E8A">
              <w:rPr>
                <w:sz w:val="22"/>
                <w:szCs w:val="22"/>
              </w:rPr>
              <w:t>commenced therapy</w:t>
            </w:r>
            <w:r w:rsidR="004C4428" w:rsidRPr="00B72E8A">
              <w:rPr>
                <w:sz w:val="22"/>
                <w:szCs w:val="22"/>
              </w:rPr>
              <w:t>, 14 (66.6%)</w:t>
            </w:r>
            <w:r w:rsidR="003B06D4" w:rsidRPr="00B72E8A">
              <w:rPr>
                <w:sz w:val="22"/>
                <w:szCs w:val="22"/>
              </w:rPr>
              <w:t xml:space="preserve"> </w:t>
            </w:r>
            <w:r w:rsidR="004C4428" w:rsidRPr="00B72E8A">
              <w:rPr>
                <w:sz w:val="22"/>
                <w:szCs w:val="22"/>
              </w:rPr>
              <w:t xml:space="preserve">commenced Nintedanib and 7 (33.3%) Pirfenidone. </w:t>
            </w:r>
            <w:r w:rsidR="00F128F0" w:rsidRPr="00B72E8A">
              <w:rPr>
                <w:sz w:val="22"/>
                <w:szCs w:val="22"/>
              </w:rPr>
              <w:t>Serious a</w:t>
            </w:r>
            <w:r w:rsidR="00DD4449" w:rsidRPr="00B72E8A">
              <w:rPr>
                <w:sz w:val="22"/>
                <w:szCs w:val="22"/>
              </w:rPr>
              <w:t xml:space="preserve">dverse incidents were reported </w:t>
            </w:r>
            <w:r w:rsidR="001A3BBE" w:rsidRPr="00B72E8A">
              <w:rPr>
                <w:sz w:val="22"/>
                <w:szCs w:val="22"/>
              </w:rPr>
              <w:t>in</w:t>
            </w:r>
            <w:r w:rsidR="00DD4449" w:rsidRPr="00B72E8A">
              <w:rPr>
                <w:sz w:val="22"/>
                <w:szCs w:val="22"/>
              </w:rPr>
              <w:t xml:space="preserve"> </w:t>
            </w:r>
            <w:r w:rsidR="00F128F0" w:rsidRPr="00B72E8A">
              <w:rPr>
                <w:sz w:val="22"/>
                <w:szCs w:val="22"/>
              </w:rPr>
              <w:t>11</w:t>
            </w:r>
            <w:r w:rsidR="00DD4449" w:rsidRPr="00B72E8A">
              <w:rPr>
                <w:sz w:val="22"/>
                <w:szCs w:val="22"/>
              </w:rPr>
              <w:t xml:space="preserve"> patients</w:t>
            </w:r>
            <w:r w:rsidR="00A303C1" w:rsidRPr="00B72E8A">
              <w:rPr>
                <w:sz w:val="22"/>
                <w:szCs w:val="22"/>
              </w:rPr>
              <w:t xml:space="preserve"> (</w:t>
            </w:r>
            <w:r w:rsidR="00F128F0" w:rsidRPr="00B72E8A">
              <w:rPr>
                <w:sz w:val="22"/>
                <w:szCs w:val="22"/>
              </w:rPr>
              <w:t>52.4</w:t>
            </w:r>
            <w:r w:rsidR="00A303C1" w:rsidRPr="00B72E8A">
              <w:rPr>
                <w:sz w:val="22"/>
                <w:szCs w:val="22"/>
              </w:rPr>
              <w:t>%)</w:t>
            </w:r>
            <w:r w:rsidR="00AC03DA" w:rsidRPr="00B72E8A">
              <w:rPr>
                <w:sz w:val="22"/>
                <w:szCs w:val="22"/>
              </w:rPr>
              <w:t xml:space="preserve"> namely </w:t>
            </w:r>
            <w:r w:rsidR="00F128F0" w:rsidRPr="00B72E8A">
              <w:rPr>
                <w:sz w:val="22"/>
                <w:szCs w:val="22"/>
              </w:rPr>
              <w:t>gastrointestinal upset (</w:t>
            </w:r>
            <w:proofErr w:type="spellStart"/>
            <w:r w:rsidR="005E2ABE" w:rsidRPr="00B72E8A">
              <w:rPr>
                <w:sz w:val="22"/>
                <w:szCs w:val="22"/>
              </w:rPr>
              <w:t>Nintedanib</w:t>
            </w:r>
            <w:proofErr w:type="spellEnd"/>
            <w:r w:rsidR="005E2ABE" w:rsidRPr="00B72E8A">
              <w:rPr>
                <w:sz w:val="22"/>
                <w:szCs w:val="22"/>
              </w:rPr>
              <w:t xml:space="preserve"> </w:t>
            </w:r>
            <w:r w:rsidR="00F128F0" w:rsidRPr="00B72E8A">
              <w:rPr>
                <w:sz w:val="22"/>
                <w:szCs w:val="22"/>
              </w:rPr>
              <w:t>n=</w:t>
            </w:r>
            <w:r w:rsidR="00715D94">
              <w:rPr>
                <w:sz w:val="22"/>
                <w:szCs w:val="22"/>
              </w:rPr>
              <w:t>3</w:t>
            </w:r>
            <w:r w:rsidR="005E2ABE" w:rsidRPr="00B72E8A">
              <w:rPr>
                <w:sz w:val="22"/>
                <w:szCs w:val="22"/>
              </w:rPr>
              <w:t>, pirfenidone n=</w:t>
            </w:r>
            <w:r w:rsidR="00715D94">
              <w:rPr>
                <w:sz w:val="22"/>
                <w:szCs w:val="22"/>
              </w:rPr>
              <w:t>3</w:t>
            </w:r>
            <w:r w:rsidR="00F128F0" w:rsidRPr="00B72E8A">
              <w:rPr>
                <w:sz w:val="22"/>
                <w:szCs w:val="22"/>
              </w:rPr>
              <w:t>) and liver derangement (</w:t>
            </w:r>
            <w:r w:rsidR="005E2ABE" w:rsidRPr="00B72E8A">
              <w:rPr>
                <w:sz w:val="22"/>
                <w:szCs w:val="22"/>
              </w:rPr>
              <w:t xml:space="preserve">Nintedanib </w:t>
            </w:r>
            <w:r w:rsidR="00F128F0" w:rsidRPr="00B72E8A">
              <w:rPr>
                <w:sz w:val="22"/>
                <w:szCs w:val="22"/>
              </w:rPr>
              <w:t>n=</w:t>
            </w:r>
            <w:r w:rsidR="005E2ABE" w:rsidRPr="00B72E8A">
              <w:rPr>
                <w:sz w:val="22"/>
                <w:szCs w:val="22"/>
              </w:rPr>
              <w:t>2, pirfenidone n=1</w:t>
            </w:r>
            <w:r w:rsidR="00F128F0" w:rsidRPr="00B72E8A">
              <w:rPr>
                <w:sz w:val="22"/>
                <w:szCs w:val="22"/>
              </w:rPr>
              <w:t>)</w:t>
            </w:r>
            <w:r w:rsidR="00F67816" w:rsidRPr="00B72E8A">
              <w:rPr>
                <w:sz w:val="22"/>
                <w:szCs w:val="22"/>
              </w:rPr>
              <w:t xml:space="preserve">, with </w:t>
            </w:r>
            <w:r w:rsidR="007057F8">
              <w:rPr>
                <w:sz w:val="22"/>
                <w:szCs w:val="22"/>
              </w:rPr>
              <w:t>6</w:t>
            </w:r>
            <w:r w:rsidR="00F67816" w:rsidRPr="00B72E8A">
              <w:rPr>
                <w:sz w:val="22"/>
                <w:szCs w:val="22"/>
              </w:rPr>
              <w:t xml:space="preserve"> (2</w:t>
            </w:r>
            <w:r w:rsidR="007057F8">
              <w:rPr>
                <w:sz w:val="22"/>
                <w:szCs w:val="22"/>
              </w:rPr>
              <w:t>8.6</w:t>
            </w:r>
            <w:r w:rsidR="00F67816" w:rsidRPr="00B72E8A">
              <w:rPr>
                <w:sz w:val="22"/>
                <w:szCs w:val="22"/>
              </w:rPr>
              <w:t>%) ceasing treatment</w:t>
            </w:r>
            <w:r w:rsidR="00F128F0" w:rsidRPr="00B72E8A">
              <w:rPr>
                <w:sz w:val="22"/>
                <w:szCs w:val="22"/>
              </w:rPr>
              <w:t xml:space="preserve"> altogether</w:t>
            </w:r>
            <w:r w:rsidR="008D2AD6" w:rsidRPr="00B72E8A">
              <w:rPr>
                <w:sz w:val="22"/>
                <w:szCs w:val="22"/>
              </w:rPr>
              <w:t xml:space="preserve">. </w:t>
            </w:r>
            <w:r w:rsidR="001A3BBE" w:rsidRPr="00B72E8A">
              <w:rPr>
                <w:sz w:val="22"/>
                <w:szCs w:val="22"/>
              </w:rPr>
              <w:t>Mean c</w:t>
            </w:r>
            <w:r w:rsidR="00385394" w:rsidRPr="00B72E8A">
              <w:rPr>
                <w:sz w:val="22"/>
                <w:szCs w:val="22"/>
              </w:rPr>
              <w:t>hanges in baseline liver function tests (bilirubin and alanine transaminase, ALT) at 1 month and 3 months did not meet statistical significance (p=0.363 and p=0.466 respectively).</w:t>
            </w:r>
            <w:r w:rsidR="00C8635D" w:rsidRPr="00B72E8A">
              <w:rPr>
                <w:sz w:val="22"/>
                <w:szCs w:val="22"/>
              </w:rPr>
              <w:t xml:space="preserve"> </w:t>
            </w:r>
          </w:p>
          <w:p w14:paraId="7A27EC98" w14:textId="77777777" w:rsidR="00385394" w:rsidRPr="00B72E8A" w:rsidRDefault="00385394" w:rsidP="000A28E2">
            <w:pPr>
              <w:pStyle w:val="Pa12"/>
              <w:rPr>
                <w:rStyle w:val="A4"/>
                <w:b/>
                <w:bCs/>
              </w:rPr>
            </w:pPr>
          </w:p>
          <w:p w14:paraId="2A651708" w14:textId="66CA4E3A" w:rsidR="001564A4" w:rsidRPr="00B72E8A" w:rsidRDefault="001564A4" w:rsidP="000A28E2">
            <w:pPr>
              <w:pStyle w:val="Pa12"/>
              <w:rPr>
                <w:b/>
                <w:bCs/>
                <w:color w:val="000000"/>
                <w:sz w:val="22"/>
                <w:szCs w:val="22"/>
              </w:rPr>
            </w:pPr>
            <w:r w:rsidRPr="00B72E8A">
              <w:rPr>
                <w:rStyle w:val="A4"/>
                <w:b/>
                <w:bCs/>
              </w:rPr>
              <w:t xml:space="preserve">Conclusion: </w:t>
            </w:r>
          </w:p>
          <w:p w14:paraId="705C6752" w14:textId="33973DF8" w:rsidR="001A3BBE" w:rsidRPr="00B72E8A" w:rsidRDefault="001A3BBE" w:rsidP="00606E90">
            <w:pPr>
              <w:pStyle w:val="Pa12"/>
              <w:jc w:val="both"/>
              <w:rPr>
                <w:rStyle w:val="A4"/>
                <w:bCs/>
              </w:rPr>
            </w:pPr>
            <w:r w:rsidRPr="00B72E8A">
              <w:rPr>
                <w:rStyle w:val="A4"/>
                <w:bCs/>
              </w:rPr>
              <w:t>Anti-fibrotic use in this cohort was associated with a high proportion of adverse incidents and treatment discontinuation. Older age and elevated BMI may have some role but numbers were too small to draw conclusions in this study and further research is needed.</w:t>
            </w:r>
          </w:p>
          <w:p w14:paraId="7440C9D1" w14:textId="77777777" w:rsidR="00F67816" w:rsidRPr="00B72E8A" w:rsidRDefault="00F67816" w:rsidP="00F67816">
            <w:pPr>
              <w:pStyle w:val="Default"/>
              <w:rPr>
                <w:sz w:val="22"/>
                <w:szCs w:val="22"/>
              </w:rPr>
            </w:pPr>
          </w:p>
          <w:p w14:paraId="7F8381F0" w14:textId="2180F908" w:rsidR="001564A4" w:rsidRPr="00B72E8A" w:rsidRDefault="001564A4" w:rsidP="000A28E2">
            <w:pPr>
              <w:pStyle w:val="Pa12"/>
              <w:rPr>
                <w:b/>
                <w:bCs/>
                <w:color w:val="000000"/>
                <w:sz w:val="22"/>
                <w:szCs w:val="22"/>
              </w:rPr>
            </w:pPr>
            <w:r w:rsidRPr="00B72E8A">
              <w:rPr>
                <w:rStyle w:val="A4"/>
                <w:b/>
                <w:bCs/>
              </w:rPr>
              <w:t xml:space="preserve">Grant Support: </w:t>
            </w:r>
            <w:r w:rsidRPr="00B72E8A">
              <w:rPr>
                <w:sz w:val="22"/>
                <w:szCs w:val="22"/>
              </w:rPr>
              <w:br/>
            </w:r>
            <w:r w:rsidR="00FD13EA" w:rsidRPr="00B72E8A">
              <w:rPr>
                <w:sz w:val="22"/>
                <w:szCs w:val="22"/>
              </w:rPr>
              <w:t xml:space="preserve">Not applicable </w:t>
            </w:r>
            <w:r w:rsidRPr="00B72E8A">
              <w:rPr>
                <w:sz w:val="22"/>
                <w:szCs w:val="22"/>
              </w:rPr>
              <w:br/>
            </w:r>
            <w:r w:rsidRPr="00B72E8A">
              <w:rPr>
                <w:sz w:val="22"/>
                <w:szCs w:val="22"/>
              </w:rPr>
              <w:br/>
            </w:r>
          </w:p>
          <w:p w14:paraId="731CD908" w14:textId="77777777" w:rsidR="001564A4" w:rsidRPr="00B72E8A" w:rsidRDefault="001564A4" w:rsidP="000A28E2">
            <w:pPr>
              <w:pStyle w:val="Default"/>
              <w:rPr>
                <w:sz w:val="22"/>
                <w:szCs w:val="22"/>
              </w:rPr>
            </w:pPr>
          </w:p>
          <w:p w14:paraId="34BF0A0F" w14:textId="77777777" w:rsidR="001564A4" w:rsidRPr="00B72E8A" w:rsidRDefault="001564A4" w:rsidP="000A28E2">
            <w:pPr>
              <w:pStyle w:val="Default"/>
              <w:rPr>
                <w:sz w:val="22"/>
                <w:szCs w:val="22"/>
              </w:rPr>
            </w:pPr>
          </w:p>
          <w:p w14:paraId="1FF1A88F" w14:textId="77777777" w:rsidR="001564A4" w:rsidRPr="00B72E8A" w:rsidRDefault="001564A4" w:rsidP="000A28E2">
            <w:pPr>
              <w:pStyle w:val="Pa12"/>
              <w:rPr>
                <w:rStyle w:val="A4"/>
                <w:bCs/>
              </w:rPr>
            </w:pP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r w:rsidRPr="00B72E8A">
              <w:rPr>
                <w:rStyle w:val="A4"/>
                <w:bCs/>
              </w:rPr>
              <w:br/>
            </w:r>
          </w:p>
          <w:p w14:paraId="14DC37E4" w14:textId="77777777" w:rsidR="001564A4" w:rsidRPr="00B72E8A" w:rsidRDefault="001564A4" w:rsidP="000A28E2">
            <w:pPr>
              <w:pStyle w:val="Default"/>
              <w:rPr>
                <w:rStyle w:val="A4"/>
                <w:bCs/>
              </w:rPr>
            </w:pPr>
          </w:p>
          <w:p w14:paraId="5F58D34F" w14:textId="77777777" w:rsidR="001564A4" w:rsidRPr="00B72E8A" w:rsidRDefault="001564A4" w:rsidP="000A28E2">
            <w:pPr>
              <w:pStyle w:val="Default"/>
              <w:rPr>
                <w:sz w:val="22"/>
                <w:szCs w:val="22"/>
                <w:lang w:val="en-US" w:eastAsia="en-GB"/>
              </w:rPr>
            </w:pP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r w:rsidRPr="00B72E8A">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720A"/>
    <w:rsid w:val="00080A5D"/>
    <w:rsid w:val="00090639"/>
    <w:rsid w:val="00111C02"/>
    <w:rsid w:val="001564A4"/>
    <w:rsid w:val="001A3BBE"/>
    <w:rsid w:val="001F3A52"/>
    <w:rsid w:val="002508EA"/>
    <w:rsid w:val="002A78C2"/>
    <w:rsid w:val="002E7E9B"/>
    <w:rsid w:val="002F44E7"/>
    <w:rsid w:val="0035418C"/>
    <w:rsid w:val="00385394"/>
    <w:rsid w:val="003A51F5"/>
    <w:rsid w:val="003B06D4"/>
    <w:rsid w:val="003B7ABF"/>
    <w:rsid w:val="004434F9"/>
    <w:rsid w:val="00493025"/>
    <w:rsid w:val="00497B90"/>
    <w:rsid w:val="004C1CF7"/>
    <w:rsid w:val="004C4428"/>
    <w:rsid w:val="004D5224"/>
    <w:rsid w:val="004D5468"/>
    <w:rsid w:val="00504699"/>
    <w:rsid w:val="0051574E"/>
    <w:rsid w:val="0057195A"/>
    <w:rsid w:val="005B2BAD"/>
    <w:rsid w:val="005E2ABE"/>
    <w:rsid w:val="005F477B"/>
    <w:rsid w:val="00606E90"/>
    <w:rsid w:val="0069627D"/>
    <w:rsid w:val="006D4CDF"/>
    <w:rsid w:val="006F4081"/>
    <w:rsid w:val="007057F8"/>
    <w:rsid w:val="00710D64"/>
    <w:rsid w:val="00715D94"/>
    <w:rsid w:val="007C1F43"/>
    <w:rsid w:val="007E6C0D"/>
    <w:rsid w:val="0082358E"/>
    <w:rsid w:val="00876CFA"/>
    <w:rsid w:val="008803FA"/>
    <w:rsid w:val="00882B78"/>
    <w:rsid w:val="00894AB1"/>
    <w:rsid w:val="008B5356"/>
    <w:rsid w:val="008D2AD6"/>
    <w:rsid w:val="00945961"/>
    <w:rsid w:val="00967018"/>
    <w:rsid w:val="009E2676"/>
    <w:rsid w:val="00A303C1"/>
    <w:rsid w:val="00A36C51"/>
    <w:rsid w:val="00AA1AC4"/>
    <w:rsid w:val="00AA4378"/>
    <w:rsid w:val="00AC03DA"/>
    <w:rsid w:val="00B033C5"/>
    <w:rsid w:val="00B05BAE"/>
    <w:rsid w:val="00B073AD"/>
    <w:rsid w:val="00B12E32"/>
    <w:rsid w:val="00B26521"/>
    <w:rsid w:val="00B72E8A"/>
    <w:rsid w:val="00BF5611"/>
    <w:rsid w:val="00C4419A"/>
    <w:rsid w:val="00C8635D"/>
    <w:rsid w:val="00CC61B8"/>
    <w:rsid w:val="00D02D51"/>
    <w:rsid w:val="00D10C47"/>
    <w:rsid w:val="00DA466B"/>
    <w:rsid w:val="00DA67A4"/>
    <w:rsid w:val="00DB29F7"/>
    <w:rsid w:val="00DD4449"/>
    <w:rsid w:val="00DE4B21"/>
    <w:rsid w:val="00E06972"/>
    <w:rsid w:val="00E0700F"/>
    <w:rsid w:val="00E40036"/>
    <w:rsid w:val="00E70C3E"/>
    <w:rsid w:val="00E76462"/>
    <w:rsid w:val="00E87113"/>
    <w:rsid w:val="00E95DF2"/>
    <w:rsid w:val="00ED4EBA"/>
    <w:rsid w:val="00F128F0"/>
    <w:rsid w:val="00F67356"/>
    <w:rsid w:val="00F67816"/>
    <w:rsid w:val="00F83CF3"/>
    <w:rsid w:val="00FA4399"/>
    <w:rsid w:val="00FB3CBC"/>
    <w:rsid w:val="00FD13EA"/>
    <w:rsid w:val="00FD45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Anne Johnson</cp:lastModifiedBy>
  <cp:revision>2</cp:revision>
  <dcterms:created xsi:type="dcterms:W3CDTF">2023-10-18T09:59:00Z</dcterms:created>
  <dcterms:modified xsi:type="dcterms:W3CDTF">2023-10-18T09:59:00Z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