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89"/>
      </w:tblGrid>
      <w:tr w:rsidR="001564A4" w:rsidRPr="0050053A" w14:paraId="5C38377B" w14:textId="77777777" w:rsidTr="374EDD0E">
        <w:trPr>
          <w:trHeight w:val="699"/>
          <w:jc w:val="center"/>
        </w:trPr>
        <w:tc>
          <w:tcPr>
            <w:tcW w:w="8689" w:type="dxa"/>
            <w:shd w:val="clear" w:color="auto" w:fill="auto"/>
          </w:tcPr>
          <w:p w14:paraId="5C44F357" w14:textId="73F35FB7" w:rsidR="00A51881" w:rsidRPr="0050053A" w:rsidRDefault="124597BB" w:rsidP="374EDD0E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US" w:eastAsia="zh-CN"/>
              </w:rPr>
            </w:pPr>
            <w:bookmarkStart w:id="0" w:name="_GoBack" w:colFirst="1" w:colLast="1"/>
            <w:r w:rsidRPr="374EDD0E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 xml:space="preserve">The Cairns experience of thrombolysis for acute pulmonary embolism </w:t>
            </w:r>
          </w:p>
        </w:tc>
      </w:tr>
      <w:tr w:rsidR="001564A4" w:rsidRPr="0050053A" w14:paraId="0E2E035C" w14:textId="77777777" w:rsidTr="374EDD0E">
        <w:trPr>
          <w:trHeight w:val="645"/>
          <w:jc w:val="center"/>
        </w:trPr>
        <w:tc>
          <w:tcPr>
            <w:tcW w:w="8689" w:type="dxa"/>
            <w:shd w:val="clear" w:color="auto" w:fill="auto"/>
          </w:tcPr>
          <w:p w14:paraId="73B55295" w14:textId="7347B19C" w:rsidR="001564A4" w:rsidRPr="00413B94" w:rsidRDefault="00A51881" w:rsidP="374EDD0E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374EDD0E">
              <w:rPr>
                <w:rFonts w:ascii="Arial" w:hAnsi="Arial" w:cs="Arial"/>
                <w:sz w:val="22"/>
                <w:szCs w:val="22"/>
                <w:lang w:val="en-US" w:eastAsia="en-GB"/>
              </w:rPr>
              <w:t>Samantha Kung</w:t>
            </w:r>
            <w:r w:rsidR="001564A4" w:rsidRPr="374EDD0E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1" w:name="Text8"/>
            <w:r w:rsidR="001564A4" w:rsidRPr="374EDD0E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21ADA328" w:rsidRPr="374EDD0E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bookmarkEnd w:id="1"/>
            <w:r w:rsidRPr="374EDD0E">
              <w:rPr>
                <w:rFonts w:ascii="Arial" w:hAnsi="Arial" w:cs="Arial"/>
                <w:sz w:val="22"/>
                <w:szCs w:val="22"/>
                <w:lang w:val="en-US" w:eastAsia="en-GB"/>
              </w:rPr>
              <w:t>Roderick Gavey</w:t>
            </w:r>
            <w:r w:rsidR="00534B42" w:rsidRPr="374EDD0E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564A4" w:rsidRPr="374EDD0E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Pr="374EDD0E">
              <w:rPr>
                <w:rFonts w:ascii="Arial" w:hAnsi="Arial" w:cs="Arial"/>
                <w:sz w:val="22"/>
                <w:szCs w:val="22"/>
                <w:lang w:val="en-US" w:eastAsia="en-GB"/>
              </w:rPr>
              <w:t>Stephen Vincent</w:t>
            </w:r>
            <w:r w:rsidR="00534B42" w:rsidRPr="374EDD0E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534B42" w:rsidRPr="374EDD0E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</w:p>
        </w:tc>
      </w:tr>
      <w:tr w:rsidR="001564A4" w:rsidRPr="0050053A" w14:paraId="385A19D9" w14:textId="77777777" w:rsidTr="374EDD0E">
        <w:trPr>
          <w:trHeight w:val="179"/>
          <w:jc w:val="center"/>
        </w:trPr>
        <w:tc>
          <w:tcPr>
            <w:tcW w:w="8689" w:type="dxa"/>
            <w:shd w:val="clear" w:color="auto" w:fill="auto"/>
          </w:tcPr>
          <w:p w14:paraId="45ED36BF" w14:textId="1893D858" w:rsidR="001564A4" w:rsidRPr="0050053A" w:rsidRDefault="001564A4" w:rsidP="006B553F">
            <w:pPr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</w:pPr>
            <w:r w:rsidRPr="374EDD0E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534B42" w:rsidRPr="374EDD0E"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  <w:t xml:space="preserve">Department of Thoracic and Sleep Medicine, Cairns </w:t>
            </w:r>
            <w:r w:rsidR="006B553F"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  <w:t>Hospital</w:t>
            </w:r>
            <w:r w:rsidR="00A51881" w:rsidRPr="374EDD0E"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  <w:t xml:space="preserve">, Queensland, Australia </w:t>
            </w:r>
          </w:p>
        </w:tc>
      </w:tr>
      <w:tr w:rsidR="001564A4" w:rsidRPr="0050053A" w14:paraId="6DAF615A" w14:textId="77777777" w:rsidTr="006B553F">
        <w:trPr>
          <w:trHeight w:val="10338"/>
          <w:jc w:val="center"/>
        </w:trPr>
        <w:tc>
          <w:tcPr>
            <w:tcW w:w="8689" w:type="dxa"/>
            <w:shd w:val="clear" w:color="auto" w:fill="auto"/>
          </w:tcPr>
          <w:p w14:paraId="739E7937" w14:textId="77777777" w:rsidR="001564A4" w:rsidRPr="0050053A" w:rsidRDefault="001564A4" w:rsidP="000A28E2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</w:p>
          <w:p w14:paraId="2251F6D5" w14:textId="5602A6D1" w:rsidR="001564A4" w:rsidRPr="00526B72" w:rsidRDefault="5D728030" w:rsidP="374EDD0E">
            <w:pPr>
              <w:pStyle w:val="Pa12"/>
              <w:spacing w:line="240" w:lineRule="auto"/>
              <w:rPr>
                <w:sz w:val="22"/>
                <w:szCs w:val="22"/>
              </w:rPr>
            </w:pPr>
            <w:r w:rsidRPr="374EDD0E">
              <w:rPr>
                <w:sz w:val="22"/>
                <w:szCs w:val="22"/>
              </w:rPr>
              <w:t>S</w:t>
            </w:r>
            <w:r w:rsidR="32E9B540" w:rsidRPr="374EDD0E">
              <w:rPr>
                <w:sz w:val="22"/>
                <w:szCs w:val="22"/>
              </w:rPr>
              <w:t xml:space="preserve">ystemic thrombolysis is established as first line management in acute, high risk pulmonary embolism. </w:t>
            </w:r>
            <w:r w:rsidR="56544C08" w:rsidRPr="374EDD0E">
              <w:rPr>
                <w:sz w:val="22"/>
                <w:szCs w:val="22"/>
              </w:rPr>
              <w:t>There i</w:t>
            </w:r>
            <w:r w:rsidR="12E7E810" w:rsidRPr="374EDD0E">
              <w:rPr>
                <w:sz w:val="22"/>
                <w:szCs w:val="22"/>
              </w:rPr>
              <w:t xml:space="preserve">s emerging data </w:t>
            </w:r>
            <w:r w:rsidR="6DA5BB13" w:rsidRPr="374EDD0E">
              <w:rPr>
                <w:sz w:val="22"/>
                <w:szCs w:val="22"/>
              </w:rPr>
              <w:t>but currently no clearly defined indications for thrombolysis in the intermediate-high risk group</w:t>
            </w:r>
            <w:r w:rsidR="237F9B6F" w:rsidRPr="374EDD0E">
              <w:rPr>
                <w:sz w:val="22"/>
                <w:szCs w:val="22"/>
              </w:rPr>
              <w:t xml:space="preserve">. </w:t>
            </w:r>
            <w:r w:rsidR="282638E8" w:rsidRPr="374EDD0E">
              <w:rPr>
                <w:sz w:val="22"/>
                <w:szCs w:val="22"/>
              </w:rPr>
              <w:t xml:space="preserve">The aim of this study is to </w:t>
            </w:r>
            <w:r w:rsidR="32E9B540" w:rsidRPr="374EDD0E">
              <w:rPr>
                <w:sz w:val="22"/>
                <w:szCs w:val="22"/>
              </w:rPr>
              <w:t xml:space="preserve">describe the </w:t>
            </w:r>
            <w:r w:rsidR="2A6D76AE" w:rsidRPr="374EDD0E">
              <w:rPr>
                <w:sz w:val="22"/>
                <w:szCs w:val="22"/>
              </w:rPr>
              <w:t xml:space="preserve">risk stratification, </w:t>
            </w:r>
            <w:r w:rsidR="32E9B540" w:rsidRPr="374EDD0E">
              <w:rPr>
                <w:sz w:val="22"/>
                <w:szCs w:val="22"/>
              </w:rPr>
              <w:t>outcomes</w:t>
            </w:r>
            <w:r w:rsidR="0F67F43E" w:rsidRPr="374EDD0E">
              <w:rPr>
                <w:sz w:val="22"/>
                <w:szCs w:val="22"/>
              </w:rPr>
              <w:t xml:space="preserve"> and complications of </w:t>
            </w:r>
            <w:r w:rsidR="282638E8" w:rsidRPr="374EDD0E">
              <w:rPr>
                <w:sz w:val="22"/>
                <w:szCs w:val="22"/>
              </w:rPr>
              <w:t xml:space="preserve">thrombolysis for acute pulmonary embolism </w:t>
            </w:r>
            <w:r w:rsidR="366840D8" w:rsidRPr="374EDD0E">
              <w:rPr>
                <w:sz w:val="22"/>
                <w:szCs w:val="22"/>
              </w:rPr>
              <w:t xml:space="preserve">in a </w:t>
            </w:r>
            <w:r w:rsidR="282638E8" w:rsidRPr="374EDD0E">
              <w:rPr>
                <w:sz w:val="22"/>
                <w:szCs w:val="22"/>
              </w:rPr>
              <w:t xml:space="preserve">regional institution. </w:t>
            </w:r>
          </w:p>
          <w:p w14:paraId="3D770CF7" w14:textId="77777777" w:rsidR="001564A4" w:rsidRPr="0050053A" w:rsidRDefault="001564A4" w:rsidP="374EDD0E">
            <w:pPr>
              <w:pStyle w:val="Pa12"/>
              <w:spacing w:line="240" w:lineRule="auto"/>
              <w:rPr>
                <w:rStyle w:val="A4"/>
              </w:rPr>
            </w:pPr>
          </w:p>
          <w:p w14:paraId="1B39336E" w14:textId="77777777" w:rsidR="001564A4" w:rsidRPr="0050053A" w:rsidRDefault="001564A4" w:rsidP="374EDD0E">
            <w:pPr>
              <w:pStyle w:val="Pa12"/>
              <w:spacing w:line="240" w:lineRule="auto"/>
              <w:rPr>
                <w:rStyle w:val="A4"/>
                <w:b/>
                <w:bCs/>
              </w:rPr>
            </w:pPr>
            <w:r w:rsidRPr="374EDD0E">
              <w:rPr>
                <w:rStyle w:val="A4"/>
                <w:b/>
                <w:bCs/>
              </w:rPr>
              <w:t xml:space="preserve">Methods: </w:t>
            </w:r>
          </w:p>
          <w:p w14:paraId="70A39F78" w14:textId="1919C974" w:rsidR="001564A4" w:rsidRPr="0050053A" w:rsidRDefault="282638E8" w:rsidP="374EDD0E">
            <w:pPr>
              <w:pStyle w:val="Default"/>
              <w:rPr>
                <w:sz w:val="22"/>
                <w:szCs w:val="22"/>
              </w:rPr>
            </w:pPr>
            <w:r w:rsidRPr="374EDD0E">
              <w:rPr>
                <w:sz w:val="22"/>
                <w:szCs w:val="22"/>
              </w:rPr>
              <w:t>A retrospective audit</w:t>
            </w:r>
            <w:r w:rsidR="006B553F">
              <w:rPr>
                <w:sz w:val="22"/>
                <w:szCs w:val="22"/>
              </w:rPr>
              <w:t xml:space="preserve"> was conducted within a single </w:t>
            </w:r>
            <w:r w:rsidRPr="374EDD0E">
              <w:rPr>
                <w:sz w:val="22"/>
                <w:szCs w:val="22"/>
              </w:rPr>
              <w:t xml:space="preserve">regional institution. </w:t>
            </w:r>
            <w:r w:rsidR="154FB740" w:rsidRPr="374EDD0E">
              <w:rPr>
                <w:sz w:val="22"/>
                <w:szCs w:val="22"/>
              </w:rPr>
              <w:t xml:space="preserve">661 admissions were clinically coded </w:t>
            </w:r>
            <w:r w:rsidR="7EB4F0ED" w:rsidRPr="374EDD0E">
              <w:rPr>
                <w:sz w:val="22"/>
                <w:szCs w:val="22"/>
              </w:rPr>
              <w:t xml:space="preserve">with a primary </w:t>
            </w:r>
            <w:r w:rsidR="49CEA6EF" w:rsidRPr="374EDD0E">
              <w:rPr>
                <w:sz w:val="22"/>
                <w:szCs w:val="22"/>
              </w:rPr>
              <w:t xml:space="preserve">diagnosis of </w:t>
            </w:r>
            <w:r w:rsidR="42600E3E" w:rsidRPr="374EDD0E">
              <w:rPr>
                <w:sz w:val="22"/>
                <w:szCs w:val="22"/>
              </w:rPr>
              <w:t>“E61A – Pulmonary Embolism, Major Complexity” and “E61B – Pulmonary Embolism, Minor Complexity”</w:t>
            </w:r>
            <w:r w:rsidR="004A6903" w:rsidRPr="374EDD0E">
              <w:rPr>
                <w:sz w:val="22"/>
                <w:szCs w:val="22"/>
              </w:rPr>
              <w:t xml:space="preserve"> </w:t>
            </w:r>
            <w:r w:rsidR="62063709" w:rsidRPr="374EDD0E">
              <w:rPr>
                <w:sz w:val="22"/>
                <w:szCs w:val="22"/>
              </w:rPr>
              <w:t>from January 2017 to December 2022</w:t>
            </w:r>
            <w:r w:rsidR="42600E3E" w:rsidRPr="374EDD0E">
              <w:rPr>
                <w:sz w:val="22"/>
                <w:szCs w:val="22"/>
              </w:rPr>
              <w:t xml:space="preserve">. </w:t>
            </w:r>
            <w:r w:rsidRPr="374EDD0E">
              <w:rPr>
                <w:sz w:val="22"/>
                <w:szCs w:val="22"/>
              </w:rPr>
              <w:t>Duplicate records, diagnosis other than pulmonary embolism and patients that did not receive thrombolytic therapy were excluded. Clinical records</w:t>
            </w:r>
            <w:r w:rsidR="0569DE1F" w:rsidRPr="374EDD0E">
              <w:rPr>
                <w:sz w:val="22"/>
                <w:szCs w:val="22"/>
              </w:rPr>
              <w:t xml:space="preserve"> and</w:t>
            </w:r>
            <w:r w:rsidRPr="374EDD0E">
              <w:rPr>
                <w:sz w:val="22"/>
                <w:szCs w:val="22"/>
              </w:rPr>
              <w:t xml:space="preserve"> imaging were reviewed to establish demographics, simplified PESI scores, clinical management and outcomes.</w:t>
            </w:r>
            <w:r w:rsidR="52FFC1CE" w:rsidRPr="374EDD0E">
              <w:rPr>
                <w:sz w:val="22"/>
                <w:szCs w:val="22"/>
              </w:rPr>
              <w:t xml:space="preserve">  </w:t>
            </w:r>
          </w:p>
          <w:p w14:paraId="5029BAE6" w14:textId="77777777" w:rsidR="001564A4" w:rsidRPr="0050053A" w:rsidRDefault="001564A4" w:rsidP="374EDD0E">
            <w:pPr>
              <w:pStyle w:val="Pa12"/>
              <w:spacing w:line="240" w:lineRule="auto"/>
              <w:rPr>
                <w:rStyle w:val="A4"/>
              </w:rPr>
            </w:pPr>
          </w:p>
          <w:p w14:paraId="6BF3F094" w14:textId="77777777" w:rsidR="001564A4" w:rsidRPr="0050053A" w:rsidRDefault="001564A4" w:rsidP="374EDD0E">
            <w:pPr>
              <w:pStyle w:val="Pa12"/>
              <w:spacing w:line="240" w:lineRule="auto"/>
              <w:rPr>
                <w:rStyle w:val="A4"/>
                <w:b/>
                <w:bCs/>
              </w:rPr>
            </w:pPr>
            <w:r w:rsidRPr="374EDD0E">
              <w:rPr>
                <w:rStyle w:val="A4"/>
                <w:b/>
                <w:bCs/>
              </w:rPr>
              <w:t xml:space="preserve">Results: </w:t>
            </w:r>
          </w:p>
          <w:p w14:paraId="68537800" w14:textId="6BD2B6C9" w:rsidR="001564A4" w:rsidRPr="00513419" w:rsidRDefault="5F8E1764" w:rsidP="374EDD0E">
            <w:pPr>
              <w:pStyle w:val="Pa12"/>
              <w:spacing w:line="240" w:lineRule="auto"/>
              <w:rPr>
                <w:sz w:val="22"/>
                <w:szCs w:val="22"/>
              </w:rPr>
            </w:pPr>
            <w:r w:rsidRPr="374EDD0E">
              <w:rPr>
                <w:sz w:val="22"/>
                <w:szCs w:val="22"/>
              </w:rPr>
              <w:t xml:space="preserve">The study identified </w:t>
            </w:r>
            <w:r w:rsidR="52FFC1CE" w:rsidRPr="374EDD0E">
              <w:rPr>
                <w:sz w:val="22"/>
                <w:szCs w:val="22"/>
              </w:rPr>
              <w:t xml:space="preserve">634 patients admitted for acute pulmonary embolism. Nineteen patients received thrombolytic therapy, with </w:t>
            </w:r>
            <w:r w:rsidR="3DCDC9D3" w:rsidRPr="374EDD0E">
              <w:rPr>
                <w:sz w:val="22"/>
                <w:szCs w:val="22"/>
              </w:rPr>
              <w:t xml:space="preserve">89.5% (n=17) </w:t>
            </w:r>
            <w:r w:rsidR="52FFC1CE" w:rsidRPr="374EDD0E">
              <w:rPr>
                <w:sz w:val="22"/>
                <w:szCs w:val="22"/>
              </w:rPr>
              <w:t>receiving systemic thrombolysis</w:t>
            </w:r>
            <w:r w:rsidR="261D182D" w:rsidRPr="374EDD0E">
              <w:rPr>
                <w:sz w:val="22"/>
                <w:szCs w:val="22"/>
              </w:rPr>
              <w:t xml:space="preserve"> (one at half-dose)</w:t>
            </w:r>
            <w:r w:rsidR="52FFC1CE" w:rsidRPr="374EDD0E">
              <w:rPr>
                <w:sz w:val="22"/>
                <w:szCs w:val="22"/>
              </w:rPr>
              <w:t xml:space="preserve"> and </w:t>
            </w:r>
            <w:r w:rsidR="488626C1" w:rsidRPr="374EDD0E">
              <w:rPr>
                <w:sz w:val="22"/>
                <w:szCs w:val="22"/>
              </w:rPr>
              <w:t>10.5%</w:t>
            </w:r>
            <w:r w:rsidR="0DECC466" w:rsidRPr="374EDD0E">
              <w:rPr>
                <w:sz w:val="22"/>
                <w:szCs w:val="22"/>
              </w:rPr>
              <w:t xml:space="preserve"> (n=2)</w:t>
            </w:r>
            <w:r w:rsidR="52FFC1CE" w:rsidRPr="374EDD0E">
              <w:rPr>
                <w:sz w:val="22"/>
                <w:szCs w:val="22"/>
              </w:rPr>
              <w:t xml:space="preserve"> undergoing catheter-directed thrombolysis as the primary intervention. </w:t>
            </w:r>
            <w:r w:rsidR="31F118DB" w:rsidRPr="374EDD0E">
              <w:rPr>
                <w:sz w:val="22"/>
                <w:szCs w:val="22"/>
              </w:rPr>
              <w:t>The mean age was 61.5 years</w:t>
            </w:r>
            <w:r w:rsidR="58C84F5A" w:rsidRPr="374EDD0E">
              <w:rPr>
                <w:sz w:val="22"/>
                <w:szCs w:val="22"/>
              </w:rPr>
              <w:t xml:space="preserve"> (</w:t>
            </w:r>
            <w:r w:rsidR="319578D5" w:rsidRPr="374EDD0E">
              <w:rPr>
                <w:sz w:val="22"/>
                <w:szCs w:val="22"/>
              </w:rPr>
              <w:t>±</w:t>
            </w:r>
            <w:r w:rsidR="29255AAC" w:rsidRPr="374EDD0E">
              <w:rPr>
                <w:sz w:val="22"/>
                <w:szCs w:val="22"/>
              </w:rPr>
              <w:t>15.8</w:t>
            </w:r>
            <w:r w:rsidR="58C84F5A" w:rsidRPr="374EDD0E">
              <w:rPr>
                <w:sz w:val="22"/>
                <w:szCs w:val="22"/>
              </w:rPr>
              <w:t>)</w:t>
            </w:r>
            <w:r w:rsidR="31F118DB" w:rsidRPr="374EDD0E">
              <w:rPr>
                <w:sz w:val="22"/>
                <w:szCs w:val="22"/>
              </w:rPr>
              <w:t>, 57.9%</w:t>
            </w:r>
            <w:r w:rsidR="0D6716AC" w:rsidRPr="374EDD0E">
              <w:rPr>
                <w:sz w:val="22"/>
                <w:szCs w:val="22"/>
              </w:rPr>
              <w:t xml:space="preserve"> (</w:t>
            </w:r>
            <w:r w:rsidR="5E7B573A" w:rsidRPr="374EDD0E">
              <w:rPr>
                <w:sz w:val="22"/>
                <w:szCs w:val="22"/>
              </w:rPr>
              <w:t>n=11</w:t>
            </w:r>
            <w:r w:rsidR="31F118DB" w:rsidRPr="374EDD0E">
              <w:rPr>
                <w:sz w:val="22"/>
                <w:szCs w:val="22"/>
              </w:rPr>
              <w:t xml:space="preserve">) </w:t>
            </w:r>
            <w:r w:rsidR="09498F15" w:rsidRPr="374EDD0E">
              <w:rPr>
                <w:sz w:val="22"/>
                <w:szCs w:val="22"/>
              </w:rPr>
              <w:t xml:space="preserve">were female. </w:t>
            </w:r>
            <w:r w:rsidR="52AD272C" w:rsidRPr="374EDD0E">
              <w:rPr>
                <w:sz w:val="22"/>
                <w:szCs w:val="22"/>
              </w:rPr>
              <w:t xml:space="preserve">The </w:t>
            </w:r>
            <w:r w:rsidR="1EA418CA" w:rsidRPr="374EDD0E">
              <w:rPr>
                <w:sz w:val="22"/>
                <w:szCs w:val="22"/>
              </w:rPr>
              <w:t xml:space="preserve">mean </w:t>
            </w:r>
            <w:r w:rsidR="52AD272C" w:rsidRPr="374EDD0E">
              <w:rPr>
                <w:sz w:val="22"/>
                <w:szCs w:val="22"/>
              </w:rPr>
              <w:t xml:space="preserve">simplified PESI score was </w:t>
            </w:r>
            <w:r w:rsidR="73E3DD4C" w:rsidRPr="374EDD0E">
              <w:rPr>
                <w:sz w:val="22"/>
                <w:szCs w:val="22"/>
              </w:rPr>
              <w:t>2.3</w:t>
            </w:r>
            <w:r w:rsidR="069281A9" w:rsidRPr="374EDD0E">
              <w:rPr>
                <w:sz w:val="22"/>
                <w:szCs w:val="22"/>
              </w:rPr>
              <w:t xml:space="preserve"> (</w:t>
            </w:r>
            <w:r w:rsidR="2B689314" w:rsidRPr="374EDD0E">
              <w:rPr>
                <w:sz w:val="22"/>
                <w:szCs w:val="22"/>
              </w:rPr>
              <w:t>±</w:t>
            </w:r>
            <w:r w:rsidR="069281A9" w:rsidRPr="374EDD0E">
              <w:rPr>
                <w:sz w:val="22"/>
                <w:szCs w:val="22"/>
              </w:rPr>
              <w:t>1.4)</w:t>
            </w:r>
            <w:r w:rsidR="041527A1" w:rsidRPr="374EDD0E">
              <w:rPr>
                <w:sz w:val="22"/>
                <w:szCs w:val="22"/>
              </w:rPr>
              <w:t>, 36.8% (</w:t>
            </w:r>
            <w:r w:rsidR="4B69E36E" w:rsidRPr="374EDD0E">
              <w:rPr>
                <w:sz w:val="22"/>
                <w:szCs w:val="22"/>
              </w:rPr>
              <w:t>n=</w:t>
            </w:r>
            <w:r w:rsidR="041527A1" w:rsidRPr="374EDD0E">
              <w:rPr>
                <w:sz w:val="22"/>
                <w:szCs w:val="22"/>
              </w:rPr>
              <w:t>7) were intermediate-high risk and 63% (</w:t>
            </w:r>
            <w:r w:rsidR="4EDF40AD" w:rsidRPr="374EDD0E">
              <w:rPr>
                <w:sz w:val="22"/>
                <w:szCs w:val="22"/>
              </w:rPr>
              <w:t>n=</w:t>
            </w:r>
            <w:r w:rsidR="041527A1" w:rsidRPr="374EDD0E">
              <w:rPr>
                <w:sz w:val="22"/>
                <w:szCs w:val="22"/>
              </w:rPr>
              <w:t xml:space="preserve">12) were high risk. </w:t>
            </w:r>
            <w:r w:rsidR="45E348DC" w:rsidRPr="374EDD0E">
              <w:rPr>
                <w:sz w:val="22"/>
                <w:szCs w:val="22"/>
              </w:rPr>
              <w:t>The</w:t>
            </w:r>
            <w:r w:rsidR="41E8D27D" w:rsidRPr="374EDD0E">
              <w:rPr>
                <w:sz w:val="22"/>
                <w:szCs w:val="22"/>
              </w:rPr>
              <w:t xml:space="preserve"> 90-day mortality rate was 21.0% (</w:t>
            </w:r>
            <w:r w:rsidR="0051A3E0" w:rsidRPr="374EDD0E">
              <w:rPr>
                <w:sz w:val="22"/>
                <w:szCs w:val="22"/>
              </w:rPr>
              <w:t>n=</w:t>
            </w:r>
            <w:r w:rsidR="41E8D27D" w:rsidRPr="374EDD0E">
              <w:rPr>
                <w:sz w:val="22"/>
                <w:szCs w:val="22"/>
              </w:rPr>
              <w:t>4</w:t>
            </w:r>
            <w:r w:rsidR="149E54E5" w:rsidRPr="374EDD0E">
              <w:rPr>
                <w:sz w:val="22"/>
                <w:szCs w:val="22"/>
              </w:rPr>
              <w:t>), with 31.6% (</w:t>
            </w:r>
            <w:r w:rsidR="61804848" w:rsidRPr="374EDD0E">
              <w:rPr>
                <w:sz w:val="22"/>
                <w:szCs w:val="22"/>
              </w:rPr>
              <w:t>n=</w:t>
            </w:r>
            <w:r w:rsidR="149E54E5" w:rsidRPr="374EDD0E">
              <w:rPr>
                <w:sz w:val="22"/>
                <w:szCs w:val="22"/>
              </w:rPr>
              <w:t>6) requiring inotrope support and 26.3% (</w:t>
            </w:r>
            <w:r w:rsidR="2329B591" w:rsidRPr="374EDD0E">
              <w:rPr>
                <w:sz w:val="22"/>
                <w:szCs w:val="22"/>
              </w:rPr>
              <w:t>n=</w:t>
            </w:r>
            <w:r w:rsidR="149E54E5" w:rsidRPr="374EDD0E">
              <w:rPr>
                <w:sz w:val="22"/>
                <w:szCs w:val="22"/>
              </w:rPr>
              <w:t xml:space="preserve">5) </w:t>
            </w:r>
            <w:r w:rsidR="695739E7" w:rsidRPr="374EDD0E">
              <w:rPr>
                <w:sz w:val="22"/>
                <w:szCs w:val="22"/>
              </w:rPr>
              <w:t>had</w:t>
            </w:r>
            <w:r w:rsidR="149E54E5" w:rsidRPr="374EDD0E">
              <w:rPr>
                <w:sz w:val="22"/>
                <w:szCs w:val="22"/>
              </w:rPr>
              <w:t xml:space="preserve"> a cardiac arrest.</w:t>
            </w:r>
            <w:r w:rsidR="41E8D27D" w:rsidRPr="374EDD0E">
              <w:rPr>
                <w:sz w:val="22"/>
                <w:szCs w:val="22"/>
              </w:rPr>
              <w:t xml:space="preserve"> </w:t>
            </w:r>
            <w:r w:rsidR="4B75D1E7" w:rsidRPr="374EDD0E">
              <w:rPr>
                <w:sz w:val="22"/>
                <w:szCs w:val="22"/>
              </w:rPr>
              <w:t>No</w:t>
            </w:r>
            <w:r w:rsidR="41E8D27D" w:rsidRPr="374EDD0E">
              <w:rPr>
                <w:sz w:val="22"/>
                <w:szCs w:val="22"/>
              </w:rPr>
              <w:t xml:space="preserve"> </w:t>
            </w:r>
            <w:r w:rsidR="4B75D1E7" w:rsidRPr="374EDD0E">
              <w:rPr>
                <w:sz w:val="22"/>
                <w:szCs w:val="22"/>
              </w:rPr>
              <w:t xml:space="preserve">patients </w:t>
            </w:r>
            <w:r w:rsidR="11CD0295" w:rsidRPr="374EDD0E">
              <w:rPr>
                <w:sz w:val="22"/>
                <w:szCs w:val="22"/>
              </w:rPr>
              <w:t>had any</w:t>
            </w:r>
            <w:r w:rsidR="4B75D1E7" w:rsidRPr="374EDD0E">
              <w:rPr>
                <w:sz w:val="22"/>
                <w:szCs w:val="22"/>
              </w:rPr>
              <w:t xml:space="preserve"> </w:t>
            </w:r>
            <w:r w:rsidR="41E8D27D" w:rsidRPr="374EDD0E">
              <w:rPr>
                <w:sz w:val="22"/>
                <w:szCs w:val="22"/>
              </w:rPr>
              <w:t>major haemorrhage</w:t>
            </w:r>
            <w:r w:rsidR="3E063E6A" w:rsidRPr="374EDD0E">
              <w:rPr>
                <w:sz w:val="22"/>
                <w:szCs w:val="22"/>
              </w:rPr>
              <w:t>, including</w:t>
            </w:r>
            <w:r w:rsidR="41E8D27D" w:rsidRPr="374EDD0E">
              <w:rPr>
                <w:sz w:val="22"/>
                <w:szCs w:val="22"/>
              </w:rPr>
              <w:t xml:space="preserve"> </w:t>
            </w:r>
            <w:proofErr w:type="spellStart"/>
            <w:r w:rsidR="41E8D27D" w:rsidRPr="374EDD0E">
              <w:rPr>
                <w:sz w:val="22"/>
                <w:szCs w:val="22"/>
              </w:rPr>
              <w:t>intracerebral</w:t>
            </w:r>
            <w:proofErr w:type="spellEnd"/>
            <w:r w:rsidR="41E8D27D" w:rsidRPr="374EDD0E">
              <w:rPr>
                <w:sz w:val="22"/>
                <w:szCs w:val="22"/>
              </w:rPr>
              <w:t xml:space="preserve"> haemorrhage. </w:t>
            </w:r>
            <w:r w:rsidR="78CBBB1A" w:rsidRPr="374EDD0E">
              <w:rPr>
                <w:sz w:val="22"/>
                <w:szCs w:val="22"/>
              </w:rPr>
              <w:t xml:space="preserve">The average hospital length of stay </w:t>
            </w:r>
            <w:r w:rsidR="4BA5541A" w:rsidRPr="374EDD0E">
              <w:rPr>
                <w:sz w:val="22"/>
                <w:szCs w:val="22"/>
              </w:rPr>
              <w:t>was 5.5 (</w:t>
            </w:r>
            <w:r w:rsidR="2EF1B88A" w:rsidRPr="374EDD0E">
              <w:rPr>
                <w:sz w:val="22"/>
                <w:szCs w:val="22"/>
              </w:rPr>
              <w:t>±</w:t>
            </w:r>
            <w:r w:rsidR="4BA5541A" w:rsidRPr="374EDD0E">
              <w:rPr>
                <w:sz w:val="22"/>
                <w:szCs w:val="22"/>
              </w:rPr>
              <w:t xml:space="preserve">3.9) days. </w:t>
            </w:r>
          </w:p>
          <w:p w14:paraId="32407840" w14:textId="23FFAA2E" w:rsidR="0E2C9AB0" w:rsidRDefault="0E2C9AB0" w:rsidP="374EDD0E">
            <w:pPr>
              <w:pStyle w:val="Default"/>
              <w:rPr>
                <w:sz w:val="22"/>
                <w:szCs w:val="22"/>
              </w:rPr>
            </w:pPr>
          </w:p>
          <w:p w14:paraId="652F7BE1" w14:textId="77777777" w:rsidR="001564A4" w:rsidRPr="00513419" w:rsidRDefault="001564A4" w:rsidP="374EDD0E">
            <w:pPr>
              <w:pStyle w:val="Pa12"/>
              <w:spacing w:line="240" w:lineRule="auto"/>
              <w:rPr>
                <w:rStyle w:val="A4"/>
                <w:b/>
                <w:bCs/>
              </w:rPr>
            </w:pPr>
            <w:r w:rsidRPr="374EDD0E">
              <w:rPr>
                <w:rStyle w:val="A4"/>
                <w:b/>
                <w:bCs/>
              </w:rPr>
              <w:t xml:space="preserve">Conclusion: </w:t>
            </w:r>
          </w:p>
          <w:p w14:paraId="196E7BAC" w14:textId="47B1EF44" w:rsidR="001564A4" w:rsidRPr="00513419" w:rsidRDefault="35729B7D" w:rsidP="374EDD0E">
            <w:pPr>
              <w:pStyle w:val="Pa12"/>
              <w:spacing w:line="240" w:lineRule="auto"/>
            </w:pPr>
            <w:r w:rsidRPr="374EDD0E">
              <w:rPr>
                <w:sz w:val="22"/>
                <w:szCs w:val="22"/>
              </w:rPr>
              <w:t>T</w:t>
            </w:r>
            <w:r w:rsidR="52FFC1CE" w:rsidRPr="374EDD0E">
              <w:rPr>
                <w:sz w:val="22"/>
                <w:szCs w:val="22"/>
              </w:rPr>
              <w:t>his retrospective audit demonstrates no major complications attributable to th</w:t>
            </w:r>
            <w:r w:rsidR="3268231E" w:rsidRPr="374EDD0E">
              <w:rPr>
                <w:sz w:val="22"/>
                <w:szCs w:val="22"/>
              </w:rPr>
              <w:t xml:space="preserve">rombolysis </w:t>
            </w:r>
            <w:r w:rsidR="52FFC1CE" w:rsidRPr="374EDD0E">
              <w:rPr>
                <w:sz w:val="22"/>
                <w:szCs w:val="22"/>
              </w:rPr>
              <w:t>in a local practice</w:t>
            </w:r>
            <w:r w:rsidR="78D6BEC5" w:rsidRPr="374EDD0E">
              <w:rPr>
                <w:sz w:val="22"/>
                <w:szCs w:val="22"/>
              </w:rPr>
              <w:t>, although event numbers were small</w:t>
            </w:r>
            <w:r w:rsidR="52FFC1CE" w:rsidRPr="374EDD0E">
              <w:rPr>
                <w:sz w:val="22"/>
                <w:szCs w:val="22"/>
              </w:rPr>
              <w:t xml:space="preserve">. However, pulmonary embolism </w:t>
            </w:r>
            <w:r w:rsidR="5F4A9C4B" w:rsidRPr="374EDD0E">
              <w:rPr>
                <w:sz w:val="22"/>
                <w:szCs w:val="22"/>
              </w:rPr>
              <w:t xml:space="preserve">still confers </w:t>
            </w:r>
            <w:r w:rsidR="52FFC1CE" w:rsidRPr="374EDD0E">
              <w:rPr>
                <w:sz w:val="22"/>
                <w:szCs w:val="22"/>
              </w:rPr>
              <w:t>significant associated mortality</w:t>
            </w:r>
            <w:r w:rsidR="2E2E6225" w:rsidRPr="374EDD0E">
              <w:rPr>
                <w:sz w:val="22"/>
                <w:szCs w:val="22"/>
              </w:rPr>
              <w:t>. F</w:t>
            </w:r>
            <w:r w:rsidR="52FFC1CE" w:rsidRPr="374EDD0E">
              <w:rPr>
                <w:sz w:val="22"/>
                <w:szCs w:val="22"/>
              </w:rPr>
              <w:t xml:space="preserve">urther </w:t>
            </w:r>
            <w:r w:rsidR="2A2A2F93" w:rsidRPr="374EDD0E">
              <w:rPr>
                <w:sz w:val="22"/>
                <w:szCs w:val="22"/>
              </w:rPr>
              <w:t xml:space="preserve">research </w:t>
            </w:r>
            <w:r w:rsidR="39D14FCF" w:rsidRPr="374EDD0E">
              <w:rPr>
                <w:sz w:val="22"/>
                <w:szCs w:val="22"/>
              </w:rPr>
              <w:t xml:space="preserve">is needed </w:t>
            </w:r>
            <w:r w:rsidR="52FFC1CE" w:rsidRPr="374EDD0E">
              <w:rPr>
                <w:sz w:val="22"/>
                <w:szCs w:val="22"/>
              </w:rPr>
              <w:t xml:space="preserve">to guide </w:t>
            </w:r>
            <w:r w:rsidR="1BF04E71" w:rsidRPr="374EDD0E">
              <w:rPr>
                <w:sz w:val="22"/>
                <w:szCs w:val="22"/>
              </w:rPr>
              <w:t xml:space="preserve">thrombolytic </w:t>
            </w:r>
            <w:r w:rsidR="1923C268" w:rsidRPr="374EDD0E">
              <w:rPr>
                <w:sz w:val="22"/>
                <w:szCs w:val="22"/>
              </w:rPr>
              <w:t>management</w:t>
            </w:r>
            <w:r w:rsidR="1BF04E71" w:rsidRPr="374EDD0E">
              <w:rPr>
                <w:sz w:val="22"/>
                <w:szCs w:val="22"/>
              </w:rPr>
              <w:t xml:space="preserve"> in</w:t>
            </w:r>
            <w:r w:rsidR="16CA0D7F" w:rsidRPr="374EDD0E">
              <w:rPr>
                <w:sz w:val="22"/>
                <w:szCs w:val="22"/>
              </w:rPr>
              <w:t xml:space="preserve"> the intermediate-high risk group</w:t>
            </w:r>
            <w:r w:rsidR="34B28176" w:rsidRPr="374EDD0E">
              <w:rPr>
                <w:sz w:val="22"/>
                <w:szCs w:val="22"/>
              </w:rPr>
              <w:t>.</w:t>
            </w:r>
          </w:p>
          <w:p w14:paraId="121EFF29" w14:textId="7297FFB2" w:rsidR="374EDD0E" w:rsidRDefault="374EDD0E" w:rsidP="374EDD0E">
            <w:pPr>
              <w:pStyle w:val="Default"/>
            </w:pPr>
          </w:p>
          <w:p w14:paraId="71B63413" w14:textId="3AABC042" w:rsidR="00A51881" w:rsidRPr="00513419" w:rsidRDefault="001564A4" w:rsidP="374EDD0E">
            <w:pPr>
              <w:pStyle w:val="Pa12"/>
              <w:spacing w:line="240" w:lineRule="auto"/>
              <w:rPr>
                <w:rStyle w:val="A4"/>
                <w:b/>
                <w:bCs/>
              </w:rPr>
            </w:pPr>
            <w:r w:rsidRPr="374EDD0E">
              <w:rPr>
                <w:rStyle w:val="A4"/>
                <w:b/>
                <w:bCs/>
              </w:rPr>
              <w:t xml:space="preserve">Grant Support: </w:t>
            </w:r>
          </w:p>
          <w:p w14:paraId="69FB79FE" w14:textId="54DD3582" w:rsidR="00A51881" w:rsidRPr="00513419" w:rsidRDefault="00A51881" w:rsidP="374EDD0E">
            <w:pPr>
              <w:pStyle w:val="Default"/>
              <w:rPr>
                <w:sz w:val="22"/>
                <w:szCs w:val="22"/>
              </w:rPr>
            </w:pPr>
            <w:r w:rsidRPr="374EDD0E">
              <w:rPr>
                <w:sz w:val="22"/>
                <w:szCs w:val="22"/>
              </w:rPr>
              <w:t>None</w:t>
            </w:r>
          </w:p>
          <w:p w14:paraId="7CAACAD6" w14:textId="70850A48" w:rsidR="004B2271" w:rsidRPr="00513419" w:rsidRDefault="004B2271" w:rsidP="374EDD0E">
            <w:pPr>
              <w:pStyle w:val="Pa12"/>
              <w:spacing w:line="240" w:lineRule="auto"/>
              <w:rPr>
                <w:sz w:val="22"/>
                <w:szCs w:val="22"/>
              </w:rPr>
            </w:pPr>
          </w:p>
          <w:p w14:paraId="74C415B9" w14:textId="73033CA3" w:rsidR="001564A4" w:rsidRPr="0050053A" w:rsidRDefault="5A725AD6" w:rsidP="374EDD0E">
            <w:pPr>
              <w:pStyle w:val="Default"/>
              <w:rPr>
                <w:b/>
                <w:bCs/>
                <w:sz w:val="22"/>
                <w:szCs w:val="22"/>
              </w:rPr>
            </w:pPr>
            <w:r w:rsidRPr="374EDD0E">
              <w:rPr>
                <w:b/>
                <w:bCs/>
                <w:sz w:val="22"/>
                <w:szCs w:val="22"/>
              </w:rPr>
              <w:t>Key words</w:t>
            </w:r>
            <w:r w:rsidR="68E8AF93" w:rsidRPr="374EDD0E">
              <w:rPr>
                <w:b/>
                <w:bCs/>
                <w:sz w:val="22"/>
                <w:szCs w:val="22"/>
              </w:rPr>
              <w:t>:</w:t>
            </w:r>
          </w:p>
          <w:p w14:paraId="1CE60B5F" w14:textId="6321A6A5" w:rsidR="001564A4" w:rsidRPr="0050053A" w:rsidRDefault="68E8AF93" w:rsidP="374EDD0E">
            <w:pPr>
              <w:pStyle w:val="Default"/>
              <w:rPr>
                <w:sz w:val="22"/>
                <w:szCs w:val="22"/>
              </w:rPr>
            </w:pPr>
            <w:r w:rsidRPr="374EDD0E">
              <w:rPr>
                <w:sz w:val="22"/>
                <w:szCs w:val="22"/>
              </w:rPr>
              <w:t>Pulmonary embolism</w:t>
            </w:r>
          </w:p>
          <w:p w14:paraId="5F58D34F" w14:textId="48C128C4" w:rsidR="001564A4" w:rsidRPr="0050053A" w:rsidRDefault="68E8AF93" w:rsidP="374EDD0E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374EDD0E">
              <w:rPr>
                <w:sz w:val="22"/>
                <w:szCs w:val="22"/>
              </w:rPr>
              <w:t>Thrombolysis</w:t>
            </w:r>
          </w:p>
        </w:tc>
      </w:tr>
      <w:bookmarkEnd w:id="0"/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4A4"/>
    <w:rsid w:val="001564A4"/>
    <w:rsid w:val="00437020"/>
    <w:rsid w:val="004A6903"/>
    <w:rsid w:val="004B2271"/>
    <w:rsid w:val="00513419"/>
    <w:rsid w:val="0051574E"/>
    <w:rsid w:val="0051A3E0"/>
    <w:rsid w:val="00526B72"/>
    <w:rsid w:val="00534B42"/>
    <w:rsid w:val="006B553F"/>
    <w:rsid w:val="008803FA"/>
    <w:rsid w:val="00A51881"/>
    <w:rsid w:val="00AB4721"/>
    <w:rsid w:val="00B12E32"/>
    <w:rsid w:val="00DA1085"/>
    <w:rsid w:val="00E0700F"/>
    <w:rsid w:val="03941F0A"/>
    <w:rsid w:val="041527A1"/>
    <w:rsid w:val="04917113"/>
    <w:rsid w:val="05321304"/>
    <w:rsid w:val="056746EF"/>
    <w:rsid w:val="0569DE1F"/>
    <w:rsid w:val="069281A9"/>
    <w:rsid w:val="0760A639"/>
    <w:rsid w:val="084F84B2"/>
    <w:rsid w:val="088C15C0"/>
    <w:rsid w:val="089D5097"/>
    <w:rsid w:val="09498F15"/>
    <w:rsid w:val="0A1307CE"/>
    <w:rsid w:val="0D6716AC"/>
    <w:rsid w:val="0DE9101A"/>
    <w:rsid w:val="0DECC466"/>
    <w:rsid w:val="0E2C9AB0"/>
    <w:rsid w:val="0EFB5744"/>
    <w:rsid w:val="0F67F43E"/>
    <w:rsid w:val="109727A5"/>
    <w:rsid w:val="11CD0295"/>
    <w:rsid w:val="11F54A16"/>
    <w:rsid w:val="124597BB"/>
    <w:rsid w:val="12E7E810"/>
    <w:rsid w:val="13B006C7"/>
    <w:rsid w:val="1401049C"/>
    <w:rsid w:val="149E54E5"/>
    <w:rsid w:val="154FB740"/>
    <w:rsid w:val="1644F6F0"/>
    <w:rsid w:val="16CA0D7F"/>
    <w:rsid w:val="17158B0A"/>
    <w:rsid w:val="174ED95E"/>
    <w:rsid w:val="18A2398A"/>
    <w:rsid w:val="1919E75C"/>
    <w:rsid w:val="1923C268"/>
    <w:rsid w:val="1A3E09EB"/>
    <w:rsid w:val="1BA536C4"/>
    <w:rsid w:val="1BD9DA4C"/>
    <w:rsid w:val="1BF04E71"/>
    <w:rsid w:val="1CB43874"/>
    <w:rsid w:val="1D3DFE19"/>
    <w:rsid w:val="1D75AAAD"/>
    <w:rsid w:val="1EA418CA"/>
    <w:rsid w:val="1F10A4B1"/>
    <w:rsid w:val="1F196894"/>
    <w:rsid w:val="2078A7E7"/>
    <w:rsid w:val="20AD4B6F"/>
    <w:rsid w:val="20B538F5"/>
    <w:rsid w:val="21ADA328"/>
    <w:rsid w:val="22491BD0"/>
    <w:rsid w:val="22510956"/>
    <w:rsid w:val="2329B591"/>
    <w:rsid w:val="237F9B6F"/>
    <w:rsid w:val="2580BC92"/>
    <w:rsid w:val="261D182D"/>
    <w:rsid w:val="266D20A7"/>
    <w:rsid w:val="271C8CF3"/>
    <w:rsid w:val="27247A79"/>
    <w:rsid w:val="282638E8"/>
    <w:rsid w:val="288F10A7"/>
    <w:rsid w:val="28C04ADA"/>
    <w:rsid w:val="29255AAC"/>
    <w:rsid w:val="2974364A"/>
    <w:rsid w:val="2A2A2F93"/>
    <w:rsid w:val="2A542DB5"/>
    <w:rsid w:val="2A6D76AE"/>
    <w:rsid w:val="2B689314"/>
    <w:rsid w:val="2BEFFE16"/>
    <w:rsid w:val="2D8BCE77"/>
    <w:rsid w:val="2E2E6225"/>
    <w:rsid w:val="2EF1B88A"/>
    <w:rsid w:val="2F3DB9BC"/>
    <w:rsid w:val="2FE6BE43"/>
    <w:rsid w:val="30C36F39"/>
    <w:rsid w:val="319578D5"/>
    <w:rsid w:val="31F118DB"/>
    <w:rsid w:val="325F3F9A"/>
    <w:rsid w:val="3268231E"/>
    <w:rsid w:val="32E9B540"/>
    <w:rsid w:val="34B28176"/>
    <w:rsid w:val="35729B7D"/>
    <w:rsid w:val="3596E05C"/>
    <w:rsid w:val="366840D8"/>
    <w:rsid w:val="3732B0BD"/>
    <w:rsid w:val="374EDD0E"/>
    <w:rsid w:val="385CF43E"/>
    <w:rsid w:val="39D14FCF"/>
    <w:rsid w:val="3C0621E0"/>
    <w:rsid w:val="3DCDC9D3"/>
    <w:rsid w:val="3E063E6A"/>
    <w:rsid w:val="3E44E043"/>
    <w:rsid w:val="3E635C08"/>
    <w:rsid w:val="3F3DC2A2"/>
    <w:rsid w:val="40C781CF"/>
    <w:rsid w:val="41E8D27D"/>
    <w:rsid w:val="42600E3E"/>
    <w:rsid w:val="42756364"/>
    <w:rsid w:val="428A2F84"/>
    <w:rsid w:val="44F3BBE1"/>
    <w:rsid w:val="45E348DC"/>
    <w:rsid w:val="4748D487"/>
    <w:rsid w:val="488626C1"/>
    <w:rsid w:val="48EC926E"/>
    <w:rsid w:val="49AE3778"/>
    <w:rsid w:val="49CEA6EF"/>
    <w:rsid w:val="4A807549"/>
    <w:rsid w:val="4B69E36E"/>
    <w:rsid w:val="4B75D1E7"/>
    <w:rsid w:val="4BA5541A"/>
    <w:rsid w:val="4CFECDC6"/>
    <w:rsid w:val="4DB8160B"/>
    <w:rsid w:val="4EDF40AD"/>
    <w:rsid w:val="4FE59997"/>
    <w:rsid w:val="51466864"/>
    <w:rsid w:val="518169F8"/>
    <w:rsid w:val="52AD272C"/>
    <w:rsid w:val="52E238C5"/>
    <w:rsid w:val="52FFC1CE"/>
    <w:rsid w:val="531D3A59"/>
    <w:rsid w:val="54B90ABA"/>
    <w:rsid w:val="56544C08"/>
    <w:rsid w:val="57429CB2"/>
    <w:rsid w:val="57B3FC22"/>
    <w:rsid w:val="57F3B488"/>
    <w:rsid w:val="58C84F5A"/>
    <w:rsid w:val="5902B638"/>
    <w:rsid w:val="5A725AD6"/>
    <w:rsid w:val="5B284C3E"/>
    <w:rsid w:val="5B469407"/>
    <w:rsid w:val="5D14F190"/>
    <w:rsid w:val="5D728030"/>
    <w:rsid w:val="5E7B573A"/>
    <w:rsid w:val="5F4A9C4B"/>
    <w:rsid w:val="5F8E1764"/>
    <w:rsid w:val="61804848"/>
    <w:rsid w:val="62063709"/>
    <w:rsid w:val="644568DF"/>
    <w:rsid w:val="64A0E55A"/>
    <w:rsid w:val="66BBD3D6"/>
    <w:rsid w:val="68E8AF93"/>
    <w:rsid w:val="695739E7"/>
    <w:rsid w:val="6B8F44F9"/>
    <w:rsid w:val="6B971DFA"/>
    <w:rsid w:val="6DA5BB13"/>
    <w:rsid w:val="70EC7BC1"/>
    <w:rsid w:val="71453E38"/>
    <w:rsid w:val="72884C22"/>
    <w:rsid w:val="739A56DE"/>
    <w:rsid w:val="73E3DD4C"/>
    <w:rsid w:val="75BFECE4"/>
    <w:rsid w:val="76A6BE0F"/>
    <w:rsid w:val="78BBF9B2"/>
    <w:rsid w:val="78CBBB1A"/>
    <w:rsid w:val="78D6BEC5"/>
    <w:rsid w:val="7A099862"/>
    <w:rsid w:val="7B7A2F32"/>
    <w:rsid w:val="7CAFAFD8"/>
    <w:rsid w:val="7D22B3F2"/>
    <w:rsid w:val="7DF0246F"/>
    <w:rsid w:val="7EB4F0ED"/>
    <w:rsid w:val="7EDD0985"/>
    <w:rsid w:val="7F8BF4D0"/>
    <w:rsid w:val="7FBF9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1941</Characters>
  <Application>Microsoft Office Word</Application>
  <DocSecurity>0</DocSecurity>
  <Lines>16</Lines>
  <Paragraphs>4</Paragraphs>
  <ScaleCrop>false</ScaleCrop>
  <Company>Windows User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Lele Talagi</dc:creator>
  <cp:lastModifiedBy>Sam</cp:lastModifiedBy>
  <cp:revision>2</cp:revision>
  <dcterms:created xsi:type="dcterms:W3CDTF">2023-10-18T05:16:00Z</dcterms:created>
  <dcterms:modified xsi:type="dcterms:W3CDTF">2023-10-18T05:16:00Z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