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93A8" w14:textId="0FB1343A" w:rsidR="00086B1A" w:rsidRPr="00553976" w:rsidRDefault="00223771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Effects of 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SGLT2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nhibition on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etabolic,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ardiac and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enal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utcomes in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eart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ransplant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</w:t>
      </w:r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ecipients (EMPA-</w:t>
      </w:r>
      <w:proofErr w:type="spellStart"/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HTx</w:t>
      </w:r>
      <w:proofErr w:type="spellEnd"/>
      <w:r w:rsidR="00734F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study): </w:t>
      </w:r>
      <w:r w:rsid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</w:t>
      </w:r>
      <w:r w:rsidR="00086B1A" w:rsidRPr="005539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nterim baseline characteristics</w:t>
      </w:r>
      <w:r w:rsidR="00734F1A" w:rsidRPr="00553976">
        <w:rPr>
          <w:rFonts w:ascii="Arial" w:hAnsi="Arial" w:cs="Arial"/>
          <w:color w:val="000000"/>
          <w:sz w:val="22"/>
          <w:szCs w:val="22"/>
        </w:rPr>
        <w:br/>
      </w:r>
      <w:r w:rsidR="00734F1A" w:rsidRPr="00553976">
        <w:rPr>
          <w:rFonts w:ascii="Arial" w:hAnsi="Arial" w:cs="Arial"/>
          <w:color w:val="000000"/>
          <w:sz w:val="22"/>
          <w:szCs w:val="22"/>
        </w:rPr>
        <w:br/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Background: Sodium glucose co-transporter 2 inhibitors (SGLT2i) may have positive effects on 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heart 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transplant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complications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 hyperglycaemia and renal impairment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SGLT2i have been observed to improve metabolic parameters in patients with diabetes following </w:t>
      </w:r>
      <w:proofErr w:type="spellStart"/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but </w:t>
      </w:r>
      <w:r w:rsidR="00FF0CEA">
        <w:rPr>
          <w:rFonts w:ascii="Arial" w:hAnsi="Arial" w:cs="Arial"/>
          <w:color w:val="000000"/>
          <w:sz w:val="22"/>
          <w:szCs w:val="22"/>
          <w:shd w:val="clear" w:color="auto" w:fill="FFFFFF"/>
        </w:rPr>
        <w:t>have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not been evaluated prospective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ly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EMPA-</w:t>
      </w:r>
      <w:proofErr w:type="spellStart"/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study is the first randomised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placebo controlled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trial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(RCT)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 SGLT2i in </w:t>
      </w:r>
      <w:proofErr w:type="spellStart"/>
      <w:r w:rsidR="00FF0CEA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recipients with primary outcome of glycaemia and secondary outcomes of renal function and cardiac fibrosis. </w:t>
      </w:r>
      <w:r w:rsidR="00FF0CEA">
        <w:rPr>
          <w:rFonts w:ascii="Arial" w:hAnsi="Arial" w:cs="Arial"/>
          <w:color w:val="000000"/>
          <w:sz w:val="22"/>
          <w:szCs w:val="22"/>
          <w:shd w:val="clear" w:color="auto" w:fill="FFFFFF"/>
        </w:rPr>
        <w:t>Trial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registration: ACTRN12622000978763.</w:t>
      </w:r>
      <w:r w:rsidR="00FF0CE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Funding received from the Australian Diabetes Society and St Vincent’s Clinic Foundation.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trial is ongoing and started recruitment in 2022. </w:t>
      </w:r>
    </w:p>
    <w:p w14:paraId="52E8FACE" w14:textId="77777777" w:rsidR="00734F1A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CB8C8D" w14:textId="6DFA88AB" w:rsidR="00734F1A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Aims: 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Interim analysis of baseline characteristics 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study progress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52F6F61F" w14:textId="77777777" w:rsidR="00734F1A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41C3FD" w14:textId="1DAD03CC" w:rsidR="00086B1A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Methods: 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RCT assessing 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empagliflozin 10 mg daily versus placebo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(1:1 randomisation)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recent </w:t>
      </w:r>
      <w:proofErr w:type="spellStart"/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recipients.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tudy medication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commencement at approximately 6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-8 weeks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post-</w:t>
      </w:r>
      <w:proofErr w:type="spellStart"/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with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f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ollow up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until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12 months after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5D3BDA59" w14:textId="77777777" w:rsidR="00086B1A" w:rsidRPr="00553976" w:rsidRDefault="00086B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A5F3E36" w14:textId="207CAF65" w:rsidR="00591639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Results</w:t>
      </w:r>
      <w:r w:rsidR="00086B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="00F35FE0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 140 </w:t>
      </w:r>
      <w:proofErr w:type="spellStart"/>
      <w:r w:rsidR="00F35FE0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F35FE0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recipients screened, 42 commenced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trial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r w:rsidR="00F35FE0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65 did not meet inclusion criteria and 33 declined. M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ean</w:t>
      </w:r>
      <w:r w:rsidR="00F35FE0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age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was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54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12</w:t>
      </w:r>
      <w:r w:rsidR="0028077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years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 </w:t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mean body mass index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was </w:t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28 </w:t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5 kg/m</w:t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;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34 (80%)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were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male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11 (26%)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>had</w:t>
      </w:r>
      <w:r w:rsidR="00223771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pre-</w:t>
      </w:r>
      <w:proofErr w:type="spellStart"/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diabetes. Mean time to commencement of trial medication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was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62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29 days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at which time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22 (52%) were on insulin for hyperglycaemia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Baseline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mean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fasting glucose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was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6.6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3.3 mmol/L,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with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HbA1c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6.2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1.3 %, eGFR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64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 mL/min/1.73m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total cholesterol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5.0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1.0 mmol/L and triglycerides </w:t>
      </w:r>
      <w:r w:rsidR="002237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1.8 </w:t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B1"/>
      </w:r>
      <w:r w:rsidR="00AB11F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0.8 mmol/L. 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 date, 28 participants have completed the study and 5 are ongoing. There have been 8 discontinuations </w:t>
      </w:r>
      <w:r w:rsidR="00C25BA9">
        <w:rPr>
          <w:rFonts w:ascii="Arial" w:hAnsi="Arial" w:cs="Arial"/>
          <w:color w:val="000000"/>
          <w:sz w:val="22"/>
          <w:szCs w:val="22"/>
          <w:shd w:val="clear" w:color="auto" w:fill="FFFFFF"/>
        </w:rPr>
        <w:t>for the following reasons: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 deaths, 1 </w:t>
      </w:r>
      <w:r w:rsidR="00591639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adverse related event (Fornier’s gangrene), 4 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chronic kidney disease</w:t>
      </w:r>
      <w:r w:rsidR="00C25B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progression</w:t>
      </w:r>
      <w:r w:rsidR="00591639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25BA9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="0065480F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withdrawal</w:t>
      </w:r>
      <w:r w:rsidR="00C25BA9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553976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2159EEC8" w14:textId="77777777" w:rsidR="00734F1A" w:rsidRPr="00553976" w:rsidRDefault="00734F1A" w:rsidP="00C25BA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5F456B2" w14:textId="0A2D696D" w:rsidR="00553976" w:rsidRPr="00553976" w:rsidRDefault="00553976" w:rsidP="00C25BA9">
      <w:pPr>
        <w:jc w:val="both"/>
        <w:rPr>
          <w:rFonts w:ascii="Arial" w:hAnsi="Arial" w:cs="Arial"/>
          <w:sz w:val="22"/>
          <w:szCs w:val="22"/>
        </w:rPr>
      </w:pPr>
      <w:r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Conclusions</w:t>
      </w:r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This study will determine the efficacy and safety of SGLT2i in </w:t>
      </w:r>
      <w:proofErr w:type="spellStart"/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>HTx</w:t>
      </w:r>
      <w:proofErr w:type="spellEnd"/>
      <w:r w:rsidR="00734F1A" w:rsidRPr="0055397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recipients</w:t>
      </w:r>
      <w:r w:rsidR="00C25BA9">
        <w:rPr>
          <w:rFonts w:ascii="Arial" w:hAnsi="Arial" w:cs="Arial"/>
          <w:color w:val="000000"/>
          <w:sz w:val="22"/>
          <w:szCs w:val="22"/>
          <w:shd w:val="clear" w:color="auto" w:fill="FFFFFF"/>
        </w:rPr>
        <w:t>, for the first time.</w:t>
      </w:r>
    </w:p>
    <w:sectPr w:rsidR="00553976" w:rsidRPr="00553976" w:rsidSect="00CA6A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1A"/>
    <w:rsid w:val="000772E8"/>
    <w:rsid w:val="00086B1A"/>
    <w:rsid w:val="000B0E5E"/>
    <w:rsid w:val="00164210"/>
    <w:rsid w:val="00187960"/>
    <w:rsid w:val="00196D61"/>
    <w:rsid w:val="001A102E"/>
    <w:rsid w:val="00223771"/>
    <w:rsid w:val="00265A95"/>
    <w:rsid w:val="0028077F"/>
    <w:rsid w:val="002B0D44"/>
    <w:rsid w:val="002C724D"/>
    <w:rsid w:val="00342463"/>
    <w:rsid w:val="0039039D"/>
    <w:rsid w:val="003A2427"/>
    <w:rsid w:val="003B16F3"/>
    <w:rsid w:val="004162E6"/>
    <w:rsid w:val="00454A57"/>
    <w:rsid w:val="004937B1"/>
    <w:rsid w:val="0052798D"/>
    <w:rsid w:val="0054409F"/>
    <w:rsid w:val="00553976"/>
    <w:rsid w:val="0056394C"/>
    <w:rsid w:val="00571DB9"/>
    <w:rsid w:val="00583767"/>
    <w:rsid w:val="00591639"/>
    <w:rsid w:val="005A42BE"/>
    <w:rsid w:val="005D242F"/>
    <w:rsid w:val="0062281B"/>
    <w:rsid w:val="006542E5"/>
    <w:rsid w:val="0065480F"/>
    <w:rsid w:val="00687B1F"/>
    <w:rsid w:val="006C6BA1"/>
    <w:rsid w:val="006F7CCF"/>
    <w:rsid w:val="00734F1A"/>
    <w:rsid w:val="0075318A"/>
    <w:rsid w:val="007C70B9"/>
    <w:rsid w:val="007D5990"/>
    <w:rsid w:val="00837B1D"/>
    <w:rsid w:val="008B40E9"/>
    <w:rsid w:val="008F2004"/>
    <w:rsid w:val="00901DE0"/>
    <w:rsid w:val="00955BC8"/>
    <w:rsid w:val="009632D9"/>
    <w:rsid w:val="009C642F"/>
    <w:rsid w:val="009D49A3"/>
    <w:rsid w:val="00A05F2E"/>
    <w:rsid w:val="00A44446"/>
    <w:rsid w:val="00A56925"/>
    <w:rsid w:val="00A86F16"/>
    <w:rsid w:val="00A91566"/>
    <w:rsid w:val="00AB11FA"/>
    <w:rsid w:val="00AD15BE"/>
    <w:rsid w:val="00AE4E9E"/>
    <w:rsid w:val="00B22E1D"/>
    <w:rsid w:val="00B274C5"/>
    <w:rsid w:val="00B36D60"/>
    <w:rsid w:val="00B57977"/>
    <w:rsid w:val="00BC4657"/>
    <w:rsid w:val="00C02D96"/>
    <w:rsid w:val="00C25BA9"/>
    <w:rsid w:val="00C34D90"/>
    <w:rsid w:val="00C36484"/>
    <w:rsid w:val="00CA6A8D"/>
    <w:rsid w:val="00CD3A38"/>
    <w:rsid w:val="00CF51B2"/>
    <w:rsid w:val="00DD4A24"/>
    <w:rsid w:val="00DE7C88"/>
    <w:rsid w:val="00E112DA"/>
    <w:rsid w:val="00E12641"/>
    <w:rsid w:val="00E645FF"/>
    <w:rsid w:val="00EB0DBD"/>
    <w:rsid w:val="00F35FE0"/>
    <w:rsid w:val="00F67432"/>
    <w:rsid w:val="00F8531D"/>
    <w:rsid w:val="00FB1F89"/>
    <w:rsid w:val="00FE2A95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FCA8E"/>
  <w15:chartTrackingRefBased/>
  <w15:docId w15:val="{DF9D0502-F996-044B-AF13-5B642495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2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Raven - SVHNS</dc:creator>
  <cp:keywords/>
  <dc:description/>
  <cp:lastModifiedBy>Lisa Raven</cp:lastModifiedBy>
  <cp:revision>2</cp:revision>
  <dcterms:created xsi:type="dcterms:W3CDTF">2025-05-19T06:29:00Z</dcterms:created>
  <dcterms:modified xsi:type="dcterms:W3CDTF">2025-05-19T06:29:00Z</dcterms:modified>
</cp:coreProperties>
</file>