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86A8E" w14:textId="530BB8E3" w:rsidR="00BB3D51" w:rsidRPr="003E7D0A" w:rsidRDefault="008E349F" w:rsidP="00BB3D51">
      <w:pPr>
        <w:rPr>
          <w:rFonts w:ascii="Arial" w:hAnsi="Arial" w:cs="Arial"/>
          <w:b/>
          <w:bCs/>
          <w:sz w:val="22"/>
          <w:szCs w:val="22"/>
        </w:rPr>
      </w:pPr>
      <w:r w:rsidRPr="003E7D0A">
        <w:rPr>
          <w:rFonts w:ascii="Arial" w:hAnsi="Arial" w:cs="Arial"/>
          <w:b/>
          <w:bCs/>
          <w:sz w:val="22"/>
          <w:szCs w:val="22"/>
        </w:rPr>
        <w:t xml:space="preserve">Utilisation of Echocardiography for Endocarditis </w:t>
      </w:r>
      <w:r w:rsidR="00532BD7" w:rsidRPr="003E7D0A">
        <w:rPr>
          <w:rFonts w:ascii="Arial" w:hAnsi="Arial" w:cs="Arial"/>
          <w:b/>
          <w:bCs/>
          <w:sz w:val="22"/>
          <w:szCs w:val="22"/>
        </w:rPr>
        <w:t>in the Wellington Region</w:t>
      </w:r>
    </w:p>
    <w:p w14:paraId="28ECA9A5" w14:textId="7D6FE32C" w:rsidR="00BB3D51" w:rsidRPr="0000074D" w:rsidRDefault="00BB3D51" w:rsidP="00BB3D51">
      <w:pPr>
        <w:rPr>
          <w:rFonts w:ascii="Arial" w:hAnsi="Arial" w:cs="Arial"/>
          <w:sz w:val="22"/>
          <w:szCs w:val="22"/>
        </w:rPr>
      </w:pPr>
    </w:p>
    <w:p w14:paraId="1A34F38A" w14:textId="77777777" w:rsidR="00BB3D51" w:rsidRPr="0000074D" w:rsidRDefault="00BB3D51" w:rsidP="00BB3D51">
      <w:pPr>
        <w:rPr>
          <w:rFonts w:ascii="Arial" w:hAnsi="Arial" w:cs="Arial"/>
          <w:b/>
          <w:bCs/>
          <w:sz w:val="22"/>
          <w:szCs w:val="22"/>
        </w:rPr>
      </w:pPr>
      <w:r w:rsidRPr="0000074D">
        <w:rPr>
          <w:rFonts w:ascii="Arial" w:hAnsi="Arial" w:cs="Arial"/>
          <w:b/>
          <w:bCs/>
          <w:sz w:val="22"/>
          <w:szCs w:val="22"/>
        </w:rPr>
        <w:t xml:space="preserve">Background: </w:t>
      </w:r>
    </w:p>
    <w:p w14:paraId="630E958F" w14:textId="58040299" w:rsidR="00BB3D51" w:rsidRPr="0000074D" w:rsidRDefault="007E4684" w:rsidP="00BB3D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Infective Endocarditis (IE) is a serious infection </w:t>
      </w:r>
      <w:r w:rsidR="00DE3F92">
        <w:rPr>
          <w:rFonts w:ascii="Arial" w:hAnsi="Arial" w:cs="Arial"/>
          <w:sz w:val="22"/>
          <w:szCs w:val="22"/>
        </w:rPr>
        <w:t>with</w:t>
      </w:r>
      <w:r>
        <w:rPr>
          <w:rFonts w:ascii="Arial" w:hAnsi="Arial" w:cs="Arial"/>
          <w:sz w:val="22"/>
          <w:szCs w:val="22"/>
        </w:rPr>
        <w:t xml:space="preserve"> a high</w:t>
      </w:r>
      <w:r w:rsidR="0061239F">
        <w:rPr>
          <w:rFonts w:ascii="Arial" w:hAnsi="Arial" w:cs="Arial"/>
          <w:sz w:val="22"/>
          <w:szCs w:val="22"/>
        </w:rPr>
        <w:t xml:space="preserve"> rate of mortality and morbidity</w:t>
      </w:r>
      <w:r>
        <w:rPr>
          <w:rFonts w:ascii="Arial" w:hAnsi="Arial" w:cs="Arial"/>
          <w:sz w:val="22"/>
          <w:szCs w:val="22"/>
        </w:rPr>
        <w:t xml:space="preserve">. Transthoracic Echocardiography (TTE) is recommended in all suspected cases of IE, and </w:t>
      </w:r>
      <w:r w:rsidR="00DE3F92">
        <w:rPr>
          <w:rFonts w:ascii="Arial" w:hAnsi="Arial" w:cs="Arial"/>
          <w:sz w:val="22"/>
          <w:szCs w:val="22"/>
        </w:rPr>
        <w:t>when non-diagnostic, T</w:t>
      </w:r>
      <w:r>
        <w:rPr>
          <w:rFonts w:ascii="Arial" w:hAnsi="Arial" w:cs="Arial"/>
          <w:sz w:val="22"/>
          <w:szCs w:val="22"/>
        </w:rPr>
        <w:t>ransoesophageal Echocardiography (TOE) is recommended</w:t>
      </w:r>
      <w:r w:rsidR="00DE3F92">
        <w:rPr>
          <w:rFonts w:ascii="Arial" w:hAnsi="Arial" w:cs="Arial"/>
          <w:sz w:val="22"/>
          <w:szCs w:val="22"/>
        </w:rPr>
        <w:t xml:space="preserve">. Repeat </w:t>
      </w:r>
      <w:r w:rsidR="002F3B31">
        <w:rPr>
          <w:rFonts w:ascii="Arial" w:hAnsi="Arial" w:cs="Arial"/>
          <w:sz w:val="22"/>
          <w:szCs w:val="22"/>
        </w:rPr>
        <w:t>echocardiogram</w:t>
      </w:r>
      <w:r w:rsidR="00DE3F92">
        <w:rPr>
          <w:rFonts w:ascii="Arial" w:hAnsi="Arial" w:cs="Arial"/>
          <w:sz w:val="22"/>
          <w:szCs w:val="22"/>
        </w:rPr>
        <w:t xml:space="preserve"> is recommended following </w:t>
      </w:r>
      <w:r w:rsidR="001412E6">
        <w:rPr>
          <w:rFonts w:ascii="Arial" w:hAnsi="Arial" w:cs="Arial"/>
          <w:sz w:val="22"/>
          <w:szCs w:val="22"/>
        </w:rPr>
        <w:t>medical therapy</w:t>
      </w:r>
      <w:r w:rsidR="00DE3F92">
        <w:rPr>
          <w:rFonts w:ascii="Arial" w:hAnsi="Arial" w:cs="Arial"/>
          <w:sz w:val="22"/>
          <w:szCs w:val="22"/>
        </w:rPr>
        <w:t xml:space="preserve">. We sought to assess the utilisation of echocardiography </w:t>
      </w:r>
      <w:r w:rsidR="00532BD7">
        <w:rPr>
          <w:rFonts w:ascii="Arial" w:hAnsi="Arial" w:cs="Arial"/>
          <w:sz w:val="22"/>
          <w:szCs w:val="22"/>
        </w:rPr>
        <w:t>in Wellington.</w:t>
      </w:r>
    </w:p>
    <w:p w14:paraId="418C6963" w14:textId="77777777" w:rsidR="00BB3D51" w:rsidRPr="0000074D" w:rsidRDefault="00BB3D51" w:rsidP="00BB3D51">
      <w:pPr>
        <w:rPr>
          <w:rFonts w:ascii="Arial" w:hAnsi="Arial" w:cs="Arial"/>
          <w:sz w:val="22"/>
          <w:szCs w:val="22"/>
        </w:rPr>
      </w:pPr>
    </w:p>
    <w:p w14:paraId="42B3DE05" w14:textId="77777777" w:rsidR="00BB3D51" w:rsidRPr="0000074D" w:rsidRDefault="00BB3D51" w:rsidP="00BB3D51">
      <w:pPr>
        <w:rPr>
          <w:rFonts w:ascii="Arial" w:hAnsi="Arial" w:cs="Arial"/>
          <w:b/>
          <w:bCs/>
          <w:sz w:val="22"/>
          <w:szCs w:val="22"/>
        </w:rPr>
      </w:pPr>
      <w:r w:rsidRPr="0000074D">
        <w:rPr>
          <w:rFonts w:ascii="Arial" w:hAnsi="Arial" w:cs="Arial"/>
          <w:b/>
          <w:bCs/>
          <w:sz w:val="22"/>
          <w:szCs w:val="22"/>
        </w:rPr>
        <w:t xml:space="preserve">Method: </w:t>
      </w:r>
    </w:p>
    <w:p w14:paraId="0959449B" w14:textId="176D9E41" w:rsidR="00BB3D51" w:rsidRPr="0000074D" w:rsidRDefault="003B4C30" w:rsidP="00BB3D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Infectious Diseases database from January 2023 and May 2025 was utilised to </w:t>
      </w:r>
      <w:r w:rsidR="00B446E9">
        <w:rPr>
          <w:rFonts w:ascii="Arial" w:hAnsi="Arial" w:cs="Arial"/>
          <w:sz w:val="22"/>
          <w:szCs w:val="22"/>
        </w:rPr>
        <w:t xml:space="preserve">identify </w:t>
      </w:r>
      <w:r w:rsidR="00FE3E6B">
        <w:rPr>
          <w:rFonts w:ascii="Arial" w:hAnsi="Arial" w:cs="Arial"/>
          <w:sz w:val="22"/>
          <w:szCs w:val="22"/>
        </w:rPr>
        <w:t>IE</w:t>
      </w:r>
      <w:r>
        <w:rPr>
          <w:rFonts w:ascii="Arial" w:hAnsi="Arial" w:cs="Arial"/>
          <w:sz w:val="22"/>
          <w:szCs w:val="22"/>
        </w:rPr>
        <w:t xml:space="preserve"> consultations. Electronic records were assessed </w:t>
      </w:r>
      <w:r w:rsidR="008E349F">
        <w:rPr>
          <w:rFonts w:ascii="Arial" w:hAnsi="Arial" w:cs="Arial"/>
          <w:sz w:val="22"/>
          <w:szCs w:val="22"/>
        </w:rPr>
        <w:t xml:space="preserve">for baseline characteristics </w:t>
      </w:r>
      <w:r>
        <w:rPr>
          <w:rFonts w:ascii="Arial" w:hAnsi="Arial" w:cs="Arial"/>
          <w:sz w:val="22"/>
          <w:szCs w:val="22"/>
        </w:rPr>
        <w:t xml:space="preserve">and </w:t>
      </w:r>
      <w:r w:rsidR="002F3B31">
        <w:rPr>
          <w:rFonts w:ascii="Arial" w:hAnsi="Arial" w:cs="Arial"/>
          <w:sz w:val="22"/>
          <w:szCs w:val="22"/>
        </w:rPr>
        <w:t>echocardiogram</w:t>
      </w:r>
      <w:r>
        <w:rPr>
          <w:rFonts w:ascii="Arial" w:hAnsi="Arial" w:cs="Arial"/>
          <w:sz w:val="22"/>
          <w:szCs w:val="22"/>
        </w:rPr>
        <w:t xml:space="preserve"> </w:t>
      </w:r>
      <w:r w:rsidR="008E349F">
        <w:rPr>
          <w:rFonts w:ascii="Arial" w:hAnsi="Arial" w:cs="Arial"/>
          <w:sz w:val="22"/>
          <w:szCs w:val="22"/>
        </w:rPr>
        <w:t>findings.</w:t>
      </w:r>
    </w:p>
    <w:p w14:paraId="6FCB6743" w14:textId="66DDEB32" w:rsidR="00BB3D51" w:rsidRPr="0000074D" w:rsidRDefault="00BB3D51" w:rsidP="00BB3D51">
      <w:pPr>
        <w:rPr>
          <w:rFonts w:ascii="Arial" w:hAnsi="Arial" w:cs="Arial"/>
          <w:sz w:val="22"/>
          <w:szCs w:val="22"/>
        </w:rPr>
      </w:pPr>
    </w:p>
    <w:p w14:paraId="69456535" w14:textId="77777777" w:rsidR="00BB3D51" w:rsidRPr="0000074D" w:rsidRDefault="00BB3D51" w:rsidP="00BB3D51">
      <w:pPr>
        <w:rPr>
          <w:rFonts w:ascii="Arial" w:hAnsi="Arial" w:cs="Arial"/>
          <w:b/>
          <w:bCs/>
          <w:sz w:val="22"/>
          <w:szCs w:val="22"/>
        </w:rPr>
      </w:pPr>
      <w:r w:rsidRPr="0000074D">
        <w:rPr>
          <w:rFonts w:ascii="Arial" w:hAnsi="Arial" w:cs="Arial"/>
          <w:b/>
          <w:bCs/>
          <w:sz w:val="22"/>
          <w:szCs w:val="22"/>
        </w:rPr>
        <w:t xml:space="preserve">Results: </w:t>
      </w:r>
    </w:p>
    <w:p w14:paraId="4A64B07F" w14:textId="6F98E279" w:rsidR="00C040E0" w:rsidRDefault="003B4C30" w:rsidP="00BB3D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64 cases were identified. The average age was 63 years old, 61% male, and predominantly New Zealand European (70%) and Maori </w:t>
      </w:r>
      <w:r w:rsidR="00C040E0">
        <w:rPr>
          <w:rFonts w:ascii="Arial" w:hAnsi="Arial" w:cs="Arial"/>
          <w:sz w:val="22"/>
          <w:szCs w:val="22"/>
        </w:rPr>
        <w:t xml:space="preserve">(16%). </w:t>
      </w:r>
      <w:r w:rsidR="00C040E0">
        <w:rPr>
          <w:rFonts w:ascii="Arial" w:hAnsi="Arial" w:cs="Arial"/>
          <w:sz w:val="22"/>
          <w:szCs w:val="22"/>
        </w:rPr>
        <w:br/>
      </w:r>
    </w:p>
    <w:p w14:paraId="5CAD6C28" w14:textId="7439932C" w:rsidR="00C040E0" w:rsidRDefault="00C040E0" w:rsidP="00BB3D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Fifty-nine (92%) of patients received a TTE. Vegetations were identified in </w:t>
      </w:r>
      <w:r w:rsidR="00324F91">
        <w:rPr>
          <w:rFonts w:ascii="Arial" w:hAnsi="Arial" w:cs="Arial"/>
          <w:sz w:val="22"/>
          <w:szCs w:val="22"/>
        </w:rPr>
        <w:t xml:space="preserve">22 (37%) cases, </w:t>
      </w:r>
      <w:r>
        <w:rPr>
          <w:rFonts w:ascii="Arial" w:hAnsi="Arial" w:cs="Arial"/>
          <w:sz w:val="22"/>
          <w:szCs w:val="22"/>
        </w:rPr>
        <w:t xml:space="preserve">equivocal in </w:t>
      </w:r>
      <w:r w:rsidR="00324F91">
        <w:rPr>
          <w:rFonts w:ascii="Arial" w:hAnsi="Arial" w:cs="Arial"/>
          <w:sz w:val="22"/>
          <w:szCs w:val="22"/>
        </w:rPr>
        <w:t>11 (</w:t>
      </w:r>
      <w:r>
        <w:rPr>
          <w:rFonts w:ascii="Arial" w:hAnsi="Arial" w:cs="Arial"/>
          <w:sz w:val="22"/>
          <w:szCs w:val="22"/>
        </w:rPr>
        <w:t>17%</w:t>
      </w:r>
      <w:r w:rsidR="00324F91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and negative in </w:t>
      </w:r>
      <w:r w:rsidR="00324F91">
        <w:rPr>
          <w:rFonts w:ascii="Arial" w:hAnsi="Arial" w:cs="Arial"/>
          <w:sz w:val="22"/>
          <w:szCs w:val="22"/>
        </w:rPr>
        <w:t>26 (</w:t>
      </w:r>
      <w:r>
        <w:rPr>
          <w:rFonts w:ascii="Arial" w:hAnsi="Arial" w:cs="Arial"/>
          <w:sz w:val="22"/>
          <w:szCs w:val="22"/>
        </w:rPr>
        <w:t>44%</w:t>
      </w:r>
      <w:r w:rsidR="00324F91">
        <w:rPr>
          <w:rFonts w:ascii="Arial" w:hAnsi="Arial" w:cs="Arial"/>
          <w:sz w:val="22"/>
          <w:szCs w:val="22"/>
        </w:rPr>
        <w:t>)</w:t>
      </w:r>
      <w:r w:rsidR="001412E6">
        <w:rPr>
          <w:rFonts w:ascii="Arial" w:hAnsi="Arial" w:cs="Arial"/>
          <w:sz w:val="22"/>
          <w:szCs w:val="22"/>
        </w:rPr>
        <w:t xml:space="preserve">. </w:t>
      </w:r>
      <w:r w:rsidR="00BB4D53">
        <w:rPr>
          <w:rFonts w:ascii="Arial" w:hAnsi="Arial" w:cs="Arial"/>
          <w:sz w:val="22"/>
          <w:szCs w:val="22"/>
        </w:rPr>
        <w:t>Twenty-one (57%) negative or equivocal studies proceeded to TOE.</w:t>
      </w:r>
      <w:r>
        <w:rPr>
          <w:rFonts w:ascii="Arial" w:hAnsi="Arial" w:cs="Arial"/>
          <w:sz w:val="22"/>
          <w:szCs w:val="22"/>
        </w:rPr>
        <w:t xml:space="preserve"> Vegetations were identified in ten studies (48%), seven</w:t>
      </w:r>
      <w:r w:rsidR="00324F91">
        <w:rPr>
          <w:rFonts w:ascii="Arial" w:hAnsi="Arial" w:cs="Arial"/>
          <w:sz w:val="22"/>
          <w:szCs w:val="22"/>
        </w:rPr>
        <w:t xml:space="preserve"> (33%)</w:t>
      </w:r>
      <w:r>
        <w:rPr>
          <w:rFonts w:ascii="Arial" w:hAnsi="Arial" w:cs="Arial"/>
          <w:sz w:val="22"/>
          <w:szCs w:val="22"/>
        </w:rPr>
        <w:t xml:space="preserve"> were equivoca</w:t>
      </w:r>
      <w:r w:rsidR="00324F91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, and four </w:t>
      </w:r>
      <w:r w:rsidR="00324F91">
        <w:rPr>
          <w:rFonts w:ascii="Arial" w:hAnsi="Arial" w:cs="Arial"/>
          <w:sz w:val="22"/>
          <w:szCs w:val="22"/>
        </w:rPr>
        <w:t>(19%) were negative.</w:t>
      </w:r>
      <w:r w:rsidR="00BB4D53">
        <w:rPr>
          <w:rFonts w:ascii="Arial" w:hAnsi="Arial" w:cs="Arial"/>
          <w:sz w:val="22"/>
          <w:szCs w:val="22"/>
        </w:rPr>
        <w:t xml:space="preserve"> Patients with cardiology involvement underwent more TOE than those with no cardiology input (68% vs. 44%, respectively).</w:t>
      </w:r>
    </w:p>
    <w:p w14:paraId="3091B2AF" w14:textId="04F4B535" w:rsidR="001412E6" w:rsidRDefault="001412E6" w:rsidP="00BB3D51">
      <w:pPr>
        <w:rPr>
          <w:rFonts w:ascii="Arial" w:hAnsi="Arial" w:cs="Arial"/>
          <w:sz w:val="22"/>
          <w:szCs w:val="22"/>
        </w:rPr>
      </w:pPr>
    </w:p>
    <w:p w14:paraId="347255CA" w14:textId="1C076EE5" w:rsidR="00FE3E6B" w:rsidRPr="0000074D" w:rsidRDefault="001412E6" w:rsidP="00BB3D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 the </w:t>
      </w:r>
      <w:r w:rsidR="00675076">
        <w:rPr>
          <w:rFonts w:ascii="Arial" w:hAnsi="Arial" w:cs="Arial"/>
          <w:sz w:val="22"/>
          <w:szCs w:val="22"/>
        </w:rPr>
        <w:t>35</w:t>
      </w:r>
      <w:r>
        <w:rPr>
          <w:rFonts w:ascii="Arial" w:hAnsi="Arial" w:cs="Arial"/>
          <w:sz w:val="22"/>
          <w:szCs w:val="22"/>
        </w:rPr>
        <w:t xml:space="preserve"> </w:t>
      </w:r>
      <w:r w:rsidR="00675076">
        <w:rPr>
          <w:rFonts w:ascii="Arial" w:hAnsi="Arial" w:cs="Arial"/>
          <w:sz w:val="22"/>
          <w:szCs w:val="22"/>
        </w:rPr>
        <w:t xml:space="preserve">surviving </w:t>
      </w:r>
      <w:r>
        <w:rPr>
          <w:rFonts w:ascii="Arial" w:hAnsi="Arial" w:cs="Arial"/>
          <w:sz w:val="22"/>
          <w:szCs w:val="22"/>
        </w:rPr>
        <w:t xml:space="preserve">medically managed cases </w:t>
      </w:r>
      <w:r w:rsidR="00BB4D53">
        <w:rPr>
          <w:rFonts w:ascii="Arial" w:hAnsi="Arial" w:cs="Arial"/>
          <w:sz w:val="22"/>
          <w:szCs w:val="22"/>
        </w:rPr>
        <w:t>with</w:t>
      </w:r>
      <w:r>
        <w:rPr>
          <w:rFonts w:ascii="Arial" w:hAnsi="Arial" w:cs="Arial"/>
          <w:sz w:val="22"/>
          <w:szCs w:val="22"/>
        </w:rPr>
        <w:t xml:space="preserve"> defined antibiotic </w:t>
      </w:r>
      <w:r w:rsidR="00675076">
        <w:rPr>
          <w:rFonts w:ascii="Arial" w:hAnsi="Arial" w:cs="Arial"/>
          <w:sz w:val="22"/>
          <w:szCs w:val="22"/>
        </w:rPr>
        <w:t>durations</w:t>
      </w:r>
      <w:r>
        <w:rPr>
          <w:rFonts w:ascii="Arial" w:hAnsi="Arial" w:cs="Arial"/>
          <w:sz w:val="22"/>
          <w:szCs w:val="22"/>
        </w:rPr>
        <w:t>, 3 (</w:t>
      </w:r>
      <w:r w:rsidR="00675076">
        <w:rPr>
          <w:rFonts w:ascii="Arial" w:hAnsi="Arial" w:cs="Arial"/>
          <w:sz w:val="22"/>
          <w:szCs w:val="22"/>
        </w:rPr>
        <w:t>8.6</w:t>
      </w:r>
      <w:r>
        <w:rPr>
          <w:rFonts w:ascii="Arial" w:hAnsi="Arial" w:cs="Arial"/>
          <w:sz w:val="22"/>
          <w:szCs w:val="22"/>
        </w:rPr>
        <w:t xml:space="preserve">%) received an echocardiogram </w:t>
      </w:r>
      <w:r w:rsidR="00BB4D53">
        <w:rPr>
          <w:rFonts w:ascii="Arial" w:hAnsi="Arial" w:cs="Arial"/>
          <w:sz w:val="22"/>
          <w:szCs w:val="22"/>
        </w:rPr>
        <w:t>at treatment cessation</w:t>
      </w:r>
      <w:r>
        <w:rPr>
          <w:rFonts w:ascii="Arial" w:hAnsi="Arial" w:cs="Arial"/>
          <w:sz w:val="22"/>
          <w:szCs w:val="22"/>
        </w:rPr>
        <w:t xml:space="preserve">. Sixteen </w:t>
      </w:r>
      <w:r w:rsidR="00B446E9">
        <w:rPr>
          <w:rFonts w:ascii="Arial" w:hAnsi="Arial" w:cs="Arial"/>
          <w:sz w:val="22"/>
          <w:szCs w:val="22"/>
        </w:rPr>
        <w:t>(3</w:t>
      </w:r>
      <w:r w:rsidR="00675076">
        <w:rPr>
          <w:rFonts w:ascii="Arial" w:hAnsi="Arial" w:cs="Arial"/>
          <w:sz w:val="22"/>
          <w:szCs w:val="22"/>
        </w:rPr>
        <w:t>6</w:t>
      </w:r>
      <w:r w:rsidR="00B446E9">
        <w:rPr>
          <w:rFonts w:ascii="Arial" w:hAnsi="Arial" w:cs="Arial"/>
          <w:sz w:val="22"/>
          <w:szCs w:val="22"/>
        </w:rPr>
        <w:t xml:space="preserve">%) of </w:t>
      </w:r>
      <w:r w:rsidR="00675076">
        <w:rPr>
          <w:rFonts w:ascii="Arial" w:hAnsi="Arial" w:cs="Arial"/>
          <w:sz w:val="22"/>
          <w:szCs w:val="22"/>
        </w:rPr>
        <w:t>44</w:t>
      </w:r>
      <w:r w:rsidR="00B446E9">
        <w:rPr>
          <w:rFonts w:ascii="Arial" w:hAnsi="Arial" w:cs="Arial"/>
          <w:sz w:val="22"/>
          <w:szCs w:val="22"/>
        </w:rPr>
        <w:t xml:space="preserve"> </w:t>
      </w:r>
      <w:r w:rsidR="00DE3F92">
        <w:rPr>
          <w:rFonts w:ascii="Arial" w:hAnsi="Arial" w:cs="Arial"/>
          <w:sz w:val="22"/>
          <w:szCs w:val="22"/>
        </w:rPr>
        <w:t xml:space="preserve">medically managed </w:t>
      </w:r>
      <w:r w:rsidR="00FE3E6B">
        <w:rPr>
          <w:rFonts w:ascii="Arial" w:hAnsi="Arial" w:cs="Arial"/>
          <w:sz w:val="22"/>
          <w:szCs w:val="22"/>
        </w:rPr>
        <w:t>patients received a follow up echocardiogram within a year of treatment.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D383D01" w14:textId="77777777" w:rsidR="00BB3D51" w:rsidRPr="0000074D" w:rsidRDefault="00BB3D51" w:rsidP="00BB3D51">
      <w:pPr>
        <w:rPr>
          <w:rFonts w:ascii="Arial" w:hAnsi="Arial" w:cs="Arial"/>
          <w:sz w:val="22"/>
          <w:szCs w:val="22"/>
        </w:rPr>
      </w:pPr>
    </w:p>
    <w:p w14:paraId="6401B874" w14:textId="77777777" w:rsidR="00BB3D51" w:rsidRPr="0000074D" w:rsidRDefault="00BB3D51" w:rsidP="00BB3D51">
      <w:pPr>
        <w:rPr>
          <w:rFonts w:ascii="Arial" w:hAnsi="Arial" w:cs="Arial"/>
          <w:b/>
          <w:bCs/>
          <w:sz w:val="22"/>
          <w:szCs w:val="22"/>
        </w:rPr>
      </w:pPr>
      <w:r w:rsidRPr="0000074D">
        <w:rPr>
          <w:rFonts w:ascii="Arial" w:hAnsi="Arial" w:cs="Arial"/>
          <w:b/>
          <w:bCs/>
          <w:sz w:val="22"/>
          <w:szCs w:val="22"/>
        </w:rPr>
        <w:t xml:space="preserve">Conclusion: </w:t>
      </w:r>
    </w:p>
    <w:p w14:paraId="3976DF77" w14:textId="0F6C034B" w:rsidR="00DE3F92" w:rsidRPr="0000074D" w:rsidRDefault="00532BD7" w:rsidP="00BB3D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Local u</w:t>
      </w:r>
      <w:r w:rsidR="00DE3F92">
        <w:rPr>
          <w:rFonts w:ascii="Arial" w:hAnsi="Arial" w:cs="Arial"/>
          <w:sz w:val="22"/>
          <w:szCs w:val="22"/>
        </w:rPr>
        <w:t xml:space="preserve">tilisation of </w:t>
      </w:r>
      <w:r w:rsidR="008E349F">
        <w:rPr>
          <w:rFonts w:ascii="Arial" w:hAnsi="Arial" w:cs="Arial"/>
          <w:sz w:val="22"/>
          <w:szCs w:val="22"/>
        </w:rPr>
        <w:t xml:space="preserve">transoesophageal and serial </w:t>
      </w:r>
      <w:r>
        <w:rPr>
          <w:rFonts w:ascii="Arial" w:hAnsi="Arial" w:cs="Arial"/>
          <w:sz w:val="22"/>
          <w:szCs w:val="22"/>
        </w:rPr>
        <w:t xml:space="preserve">echocardiography is lower than recommended in </w:t>
      </w:r>
      <w:r w:rsidR="00BB4D53">
        <w:rPr>
          <w:rFonts w:ascii="Arial" w:hAnsi="Arial" w:cs="Arial"/>
          <w:sz w:val="22"/>
          <w:szCs w:val="22"/>
        </w:rPr>
        <w:t>endocarditis care</w:t>
      </w:r>
      <w:r w:rsidR="001412E6">
        <w:rPr>
          <w:rFonts w:ascii="Arial" w:hAnsi="Arial" w:cs="Arial"/>
          <w:sz w:val="22"/>
          <w:szCs w:val="22"/>
        </w:rPr>
        <w:t>.</w:t>
      </w:r>
      <w:r w:rsidR="00BB4D53">
        <w:rPr>
          <w:rFonts w:ascii="Arial" w:hAnsi="Arial" w:cs="Arial"/>
          <w:sz w:val="22"/>
          <w:szCs w:val="22"/>
        </w:rPr>
        <w:t xml:space="preserve"> Cardiology input appears to be associated with more TOE</w:t>
      </w:r>
      <w:r>
        <w:rPr>
          <w:rFonts w:ascii="Arial" w:hAnsi="Arial" w:cs="Arial"/>
          <w:sz w:val="22"/>
          <w:szCs w:val="22"/>
        </w:rPr>
        <w:t xml:space="preserve"> in cases with non-diagnostic TTE.</w:t>
      </w:r>
    </w:p>
    <w:p w14:paraId="1BF3B531" w14:textId="2B42904A" w:rsidR="002C214B" w:rsidRDefault="002C214B">
      <w:pPr>
        <w:rPr>
          <w:b/>
        </w:rPr>
      </w:pPr>
    </w:p>
    <w:sectPr w:rsidR="002C21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las Grotesk Regula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981AE5"/>
    <w:multiLevelType w:val="hybridMultilevel"/>
    <w:tmpl w:val="3D789090"/>
    <w:lvl w:ilvl="0" w:tplc="15804EBE">
      <w:start w:val="3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8907CB"/>
    <w:multiLevelType w:val="hybridMultilevel"/>
    <w:tmpl w:val="0FF47612"/>
    <w:lvl w:ilvl="0" w:tplc="7F6E1FB6">
      <w:start w:val="2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14862319">
    <w:abstractNumId w:val="1"/>
  </w:num>
  <w:num w:numId="2" w16cid:durableId="1909461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D51"/>
    <w:rsid w:val="001412E6"/>
    <w:rsid w:val="00272B38"/>
    <w:rsid w:val="002C214B"/>
    <w:rsid w:val="002F3B31"/>
    <w:rsid w:val="00324F91"/>
    <w:rsid w:val="003B4C30"/>
    <w:rsid w:val="003E7D0A"/>
    <w:rsid w:val="00457DC0"/>
    <w:rsid w:val="00532BD7"/>
    <w:rsid w:val="00562D84"/>
    <w:rsid w:val="005A74EA"/>
    <w:rsid w:val="0061239F"/>
    <w:rsid w:val="00642199"/>
    <w:rsid w:val="00675076"/>
    <w:rsid w:val="007A6B65"/>
    <w:rsid w:val="007E4684"/>
    <w:rsid w:val="008E349F"/>
    <w:rsid w:val="009227C9"/>
    <w:rsid w:val="00A87B77"/>
    <w:rsid w:val="00B446E9"/>
    <w:rsid w:val="00BB3D51"/>
    <w:rsid w:val="00BB4D53"/>
    <w:rsid w:val="00C040E0"/>
    <w:rsid w:val="00DE3F92"/>
    <w:rsid w:val="00FE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1F808"/>
  <w15:chartTrackingRefBased/>
  <w15:docId w15:val="{C040D666-9576-4716-A7C1-81C3D6180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D5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NZ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NZ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D5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NZ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D5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0"/>
      <w:szCs w:val="20"/>
      <w:lang w:val="en-NZ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D5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0"/>
      <w:szCs w:val="20"/>
      <w:lang w:val="en-NZ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D5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0"/>
      <w:szCs w:val="20"/>
      <w:lang w:val="en-NZ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D5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0"/>
      <w:szCs w:val="20"/>
      <w:lang w:val="en-NZ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D5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0"/>
      <w:szCs w:val="20"/>
      <w:lang w:val="en-NZ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D5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0"/>
      <w:szCs w:val="20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D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D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D5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D5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D5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D5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D5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D5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D5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D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Z"/>
    </w:rPr>
  </w:style>
  <w:style w:type="character" w:customStyle="1" w:styleId="TitleChar">
    <w:name w:val="Title Char"/>
    <w:basedOn w:val="DefaultParagraphFont"/>
    <w:link w:val="Title"/>
    <w:uiPriority w:val="10"/>
    <w:rsid w:val="00BB3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D5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NZ"/>
    </w:rPr>
  </w:style>
  <w:style w:type="character" w:customStyle="1" w:styleId="SubtitleChar">
    <w:name w:val="Subtitle Char"/>
    <w:basedOn w:val="DefaultParagraphFont"/>
    <w:link w:val="Subtitle"/>
    <w:uiPriority w:val="11"/>
    <w:rsid w:val="00BB3D5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D51"/>
    <w:pPr>
      <w:spacing w:before="160" w:after="160"/>
      <w:jc w:val="center"/>
    </w:pPr>
    <w:rPr>
      <w:rFonts w:ascii="Atlas Grotesk Regular" w:eastAsiaTheme="minorHAnsi" w:hAnsi="Atlas Grotesk Regular" w:cstheme="minorBidi"/>
      <w:i/>
      <w:iCs/>
      <w:color w:val="404040" w:themeColor="text1" w:themeTint="BF"/>
      <w:sz w:val="20"/>
      <w:szCs w:val="20"/>
      <w:lang w:val="en-NZ"/>
    </w:rPr>
  </w:style>
  <w:style w:type="character" w:customStyle="1" w:styleId="QuoteChar">
    <w:name w:val="Quote Char"/>
    <w:basedOn w:val="DefaultParagraphFont"/>
    <w:link w:val="Quote"/>
    <w:uiPriority w:val="29"/>
    <w:rsid w:val="00BB3D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D51"/>
    <w:pPr>
      <w:ind w:left="720"/>
      <w:contextualSpacing/>
    </w:pPr>
    <w:rPr>
      <w:rFonts w:ascii="Atlas Grotesk Regular" w:eastAsiaTheme="minorHAnsi" w:hAnsi="Atlas Grotesk Regular" w:cstheme="minorBidi"/>
      <w:sz w:val="20"/>
      <w:szCs w:val="20"/>
      <w:lang w:val="en-NZ"/>
    </w:rPr>
  </w:style>
  <w:style w:type="character" w:styleId="IntenseEmphasis">
    <w:name w:val="Intense Emphasis"/>
    <w:basedOn w:val="DefaultParagraphFont"/>
    <w:uiPriority w:val="21"/>
    <w:qFormat/>
    <w:rsid w:val="00BB3D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tlas Grotesk Regular" w:eastAsiaTheme="minorHAnsi" w:hAnsi="Atlas Grotesk Regular" w:cstheme="minorBidi"/>
      <w:i/>
      <w:iCs/>
      <w:color w:val="0F4761" w:themeColor="accent1" w:themeShade="BF"/>
      <w:sz w:val="20"/>
      <w:szCs w:val="20"/>
      <w:lang w:val="en-NZ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D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D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b64a40ef5deec92e548b38966cf7e42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4329233fdfbbb8321b76b5bb9fad49e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ECC3FB-C6CF-465F-844C-D640D01667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90A200-04DC-402F-B521-D62A75FEAF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B341DC-34A6-4278-A90B-F1978F4D9159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Howard</dc:creator>
  <cp:keywords/>
  <dc:description/>
  <cp:lastModifiedBy>Kaylah McBirney</cp:lastModifiedBy>
  <cp:revision>2</cp:revision>
  <dcterms:created xsi:type="dcterms:W3CDTF">2026-05-05T00:50:00Z</dcterms:created>
  <dcterms:modified xsi:type="dcterms:W3CDTF">2026-05-05T00:50:00Z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