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03525D" w14:paraId="3CA33060" w14:textId="77777777" w:rsidTr="009F4EA0">
        <w:tc>
          <w:tcPr>
            <w:tcW w:w="8640" w:type="dxa"/>
            <w:shd w:val="clear" w:color="auto" w:fill="F2F2F2" w:themeFill="background1" w:themeFillShade="F2"/>
          </w:tcPr>
          <w:p w14:paraId="642E6B7D" w14:textId="7A327045" w:rsidR="00204003" w:rsidRPr="00C74F1D" w:rsidRDefault="00C74F1D" w:rsidP="00706DED">
            <w:pPr>
              <w:jc w:val="both"/>
              <w:rPr>
                <w:rFonts w:ascii="Arial" w:hAnsi="Arial" w:cs="Arial"/>
                <w:bCs/>
                <w:i/>
                <w:iCs/>
                <w:sz w:val="22"/>
                <w:szCs w:val="22"/>
              </w:rPr>
            </w:pPr>
            <w:r w:rsidRPr="00C74F1D">
              <w:rPr>
                <w:rFonts w:ascii="Arial" w:hAnsi="Arial" w:cs="Arial"/>
                <w:bCs/>
                <w:i/>
                <w:iCs/>
                <w:sz w:val="22"/>
                <w:szCs w:val="22"/>
              </w:rPr>
              <w:t>Paper</w:t>
            </w:r>
          </w:p>
          <w:p w14:paraId="6C06DFEA" w14:textId="7DD3F87B" w:rsidR="00204003" w:rsidRPr="00204003" w:rsidRDefault="00204003" w:rsidP="00204003">
            <w:pPr>
              <w:tabs>
                <w:tab w:val="left" w:pos="3386"/>
              </w:tabs>
              <w:jc w:val="both"/>
              <w:rPr>
                <w:rFonts w:ascii="Arial" w:hAnsi="Arial" w:cs="Arial"/>
                <w:b/>
                <w:bCs/>
                <w:sz w:val="22"/>
                <w:szCs w:val="22"/>
                <w:lang w:val="en-GB"/>
              </w:rPr>
            </w:pPr>
            <w:r w:rsidRPr="00120B5F">
              <w:rPr>
                <w:rFonts w:ascii="Arial" w:hAnsi="Arial" w:cs="Arial"/>
                <w:b/>
                <w:bCs/>
                <w:sz w:val="22"/>
                <w:szCs w:val="22"/>
                <w:lang w:val="en-GB"/>
              </w:rPr>
              <w:t>High adaptive capacity, low action: Unpacking the 'capacity-action gap' in an affluent region of the Global North</w:t>
            </w:r>
          </w:p>
          <w:p w14:paraId="3F7D1534" w14:textId="77777777" w:rsidR="00C8423A" w:rsidRPr="009C75AE" w:rsidRDefault="00C8423A" w:rsidP="0065012F">
            <w:pPr>
              <w:tabs>
                <w:tab w:val="left" w:pos="3386"/>
              </w:tabs>
              <w:jc w:val="both"/>
              <w:rPr>
                <w:rFonts w:ascii="Arial" w:hAnsi="Arial" w:cs="Arial"/>
                <w:b/>
                <w:bCs/>
                <w:sz w:val="22"/>
                <w:szCs w:val="22"/>
              </w:rPr>
            </w:pPr>
          </w:p>
        </w:tc>
      </w:tr>
      <w:tr w:rsidR="00C8423A" w:rsidRPr="0003525D" w14:paraId="1A1C8C63" w14:textId="77777777" w:rsidTr="009F4EA0">
        <w:trPr>
          <w:trHeight w:val="3124"/>
        </w:trPr>
        <w:tc>
          <w:tcPr>
            <w:tcW w:w="8640" w:type="dxa"/>
          </w:tcPr>
          <w:p w14:paraId="5B83AD76" w14:textId="26FC7CDE" w:rsidR="00C8423A" w:rsidRDefault="00C8423A" w:rsidP="00706DED">
            <w:pPr>
              <w:jc w:val="both"/>
              <w:rPr>
                <w:rFonts w:ascii="Arial" w:hAnsi="Arial" w:cs="Arial"/>
                <w:bCs/>
                <w:sz w:val="22"/>
                <w:szCs w:val="22"/>
              </w:rPr>
            </w:pPr>
          </w:p>
          <w:p w14:paraId="65A278DB" w14:textId="77777777" w:rsidR="00C8423A" w:rsidRDefault="00C8423A" w:rsidP="00706DED">
            <w:pPr>
              <w:jc w:val="both"/>
              <w:rPr>
                <w:rFonts w:ascii="Arial" w:hAnsi="Arial" w:cs="Arial"/>
                <w:b/>
                <w:sz w:val="22"/>
                <w:szCs w:val="22"/>
              </w:rPr>
            </w:pPr>
          </w:p>
          <w:p w14:paraId="131A5F05" w14:textId="77777777" w:rsidR="0065012F" w:rsidRDefault="0065012F" w:rsidP="00706DED">
            <w:pPr>
              <w:jc w:val="both"/>
              <w:rPr>
                <w:rFonts w:ascii="Arial" w:hAnsi="Arial" w:cs="Arial"/>
                <w:b/>
                <w:sz w:val="22"/>
                <w:szCs w:val="22"/>
              </w:rPr>
            </w:pPr>
            <w:r w:rsidRPr="0065012F">
              <w:rPr>
                <w:rFonts w:ascii="Arial" w:hAnsi="Arial" w:cs="Arial"/>
                <w:b/>
                <w:sz w:val="22"/>
                <w:szCs w:val="22"/>
              </w:rPr>
              <w:t>Introduction</w:t>
            </w:r>
          </w:p>
          <w:p w14:paraId="32434F8A" w14:textId="2596D041" w:rsidR="00204003" w:rsidRPr="00204003" w:rsidRDefault="00204003" w:rsidP="00706DED">
            <w:pPr>
              <w:jc w:val="both"/>
              <w:rPr>
                <w:rFonts w:ascii="Arial" w:hAnsi="Arial" w:cs="Arial"/>
                <w:bCs/>
                <w:sz w:val="22"/>
                <w:szCs w:val="22"/>
              </w:rPr>
            </w:pPr>
            <w:r w:rsidRPr="00204003">
              <w:rPr>
                <w:rFonts w:ascii="Arial" w:hAnsi="Arial" w:cs="Arial"/>
                <w:bCs/>
                <w:sz w:val="22"/>
                <w:szCs w:val="22"/>
              </w:rPr>
              <w:t>Strengthening adaptive capacity is a central objective of the Global Goal on Adaptation. Despite its relevance for both research and policymaking, it remains unclear what exactly constitutes adaptive capacity and what role it plays in accelerating adaptation (Siders 2019, Schubert et al. 2024). While it is assumed that higher adaptive capacity leads to more adaptation action, the existence of this causal link remains a key question in the adaptation community (Ara Begum et al 2022). With this paper, we contribute to a better theoretical and empirical understanding of the capacity-action relationship.</w:t>
            </w:r>
          </w:p>
          <w:p w14:paraId="4806BFDB" w14:textId="77777777" w:rsidR="0065012F" w:rsidRDefault="0065012F" w:rsidP="00706DED">
            <w:pPr>
              <w:jc w:val="both"/>
              <w:rPr>
                <w:rFonts w:ascii="Arial" w:hAnsi="Arial" w:cs="Arial"/>
                <w:b/>
                <w:sz w:val="22"/>
                <w:szCs w:val="22"/>
              </w:rPr>
            </w:pPr>
          </w:p>
          <w:p w14:paraId="5DE13B32" w14:textId="77777777" w:rsidR="0065012F" w:rsidRDefault="0065012F" w:rsidP="00706DED">
            <w:pPr>
              <w:jc w:val="both"/>
              <w:rPr>
                <w:rFonts w:ascii="Arial" w:hAnsi="Arial" w:cs="Arial"/>
                <w:b/>
                <w:sz w:val="22"/>
                <w:szCs w:val="22"/>
              </w:rPr>
            </w:pPr>
            <w:r>
              <w:rPr>
                <w:rFonts w:ascii="Arial" w:hAnsi="Arial" w:cs="Arial"/>
                <w:b/>
                <w:sz w:val="22"/>
                <w:szCs w:val="22"/>
              </w:rPr>
              <w:t>O</w:t>
            </w:r>
            <w:r w:rsidRPr="0065012F">
              <w:rPr>
                <w:rFonts w:ascii="Arial" w:hAnsi="Arial" w:cs="Arial"/>
                <w:b/>
                <w:sz w:val="22"/>
                <w:szCs w:val="22"/>
              </w:rPr>
              <w:t>bjectives</w:t>
            </w:r>
          </w:p>
          <w:p w14:paraId="499B6C04" w14:textId="77777777" w:rsidR="00204003" w:rsidRPr="00204003" w:rsidRDefault="00204003" w:rsidP="00204003">
            <w:pPr>
              <w:jc w:val="both"/>
              <w:rPr>
                <w:rFonts w:ascii="Arial" w:hAnsi="Arial" w:cs="Arial"/>
                <w:bCs/>
                <w:sz w:val="22"/>
                <w:szCs w:val="22"/>
              </w:rPr>
            </w:pPr>
            <w:r w:rsidRPr="00204003">
              <w:rPr>
                <w:rFonts w:ascii="Arial" w:hAnsi="Arial" w:cs="Arial"/>
                <w:bCs/>
                <w:sz w:val="22"/>
                <w:szCs w:val="22"/>
              </w:rPr>
              <w:t>Drawing on two empirical cases from the Global North, we examine the relationship between adaptive capacity and adaptation for household and city administrations. We focus on these two actors, as their actions and interactions are crucial for accelerating adaptation at the local level. Specifically, we investigate:</w:t>
            </w:r>
          </w:p>
          <w:p w14:paraId="1AC5CE17" w14:textId="77777777" w:rsidR="00204003" w:rsidRDefault="00204003" w:rsidP="00204003">
            <w:pPr>
              <w:pStyle w:val="ListParagraph"/>
              <w:numPr>
                <w:ilvl w:val="0"/>
                <w:numId w:val="4"/>
              </w:numPr>
              <w:jc w:val="both"/>
              <w:rPr>
                <w:rFonts w:ascii="Arial" w:hAnsi="Arial" w:cs="Arial"/>
                <w:bCs/>
                <w:sz w:val="22"/>
                <w:szCs w:val="22"/>
              </w:rPr>
            </w:pPr>
            <w:r w:rsidRPr="00204003">
              <w:rPr>
                <w:rFonts w:ascii="Arial" w:hAnsi="Arial" w:cs="Arial"/>
                <w:bCs/>
                <w:sz w:val="22"/>
                <w:szCs w:val="22"/>
              </w:rPr>
              <w:t>Whether adaptive capacity translates into actual adaptation actions.</w:t>
            </w:r>
          </w:p>
          <w:p w14:paraId="5580184A" w14:textId="2EF57CE9" w:rsidR="00204003" w:rsidRPr="00204003" w:rsidRDefault="00204003" w:rsidP="00204003">
            <w:pPr>
              <w:pStyle w:val="ListParagraph"/>
              <w:numPr>
                <w:ilvl w:val="0"/>
                <w:numId w:val="4"/>
              </w:numPr>
              <w:jc w:val="both"/>
              <w:rPr>
                <w:rFonts w:ascii="Arial" w:hAnsi="Arial" w:cs="Arial"/>
                <w:bCs/>
                <w:sz w:val="22"/>
                <w:szCs w:val="22"/>
              </w:rPr>
            </w:pPr>
            <w:r w:rsidRPr="00204003">
              <w:rPr>
                <w:rFonts w:ascii="Arial" w:hAnsi="Arial" w:cs="Arial"/>
                <w:bCs/>
                <w:sz w:val="22"/>
                <w:szCs w:val="22"/>
              </w:rPr>
              <w:t>Which dimensions of adaptive capacity are most crucial and should be prioritized in policy initiatives.</w:t>
            </w:r>
          </w:p>
          <w:p w14:paraId="7DF7D437" w14:textId="77777777" w:rsidR="0065012F" w:rsidRDefault="0065012F" w:rsidP="00706DED">
            <w:pPr>
              <w:jc w:val="both"/>
              <w:rPr>
                <w:rFonts w:ascii="Arial" w:hAnsi="Arial" w:cs="Arial"/>
                <w:b/>
                <w:sz w:val="22"/>
                <w:szCs w:val="22"/>
              </w:rPr>
            </w:pPr>
          </w:p>
          <w:p w14:paraId="457D2D05" w14:textId="4552866C" w:rsidR="0065012F" w:rsidRDefault="00906B39" w:rsidP="00706DED">
            <w:pPr>
              <w:jc w:val="both"/>
              <w:rPr>
                <w:rFonts w:ascii="Arial" w:hAnsi="Arial" w:cs="Arial"/>
                <w:b/>
                <w:sz w:val="22"/>
                <w:szCs w:val="22"/>
              </w:rPr>
            </w:pPr>
            <w:r>
              <w:rPr>
                <w:rFonts w:ascii="Arial" w:hAnsi="Arial" w:cs="Arial"/>
                <w:b/>
                <w:sz w:val="22"/>
                <w:szCs w:val="22"/>
              </w:rPr>
              <w:t>M</w:t>
            </w:r>
            <w:r w:rsidRPr="0065012F">
              <w:rPr>
                <w:rFonts w:ascii="Arial" w:hAnsi="Arial" w:cs="Arial"/>
                <w:b/>
                <w:sz w:val="22"/>
                <w:szCs w:val="22"/>
              </w:rPr>
              <w:t>ethod</w:t>
            </w:r>
            <w:r>
              <w:rPr>
                <w:rFonts w:ascii="Arial" w:hAnsi="Arial" w:cs="Arial"/>
                <w:b/>
                <w:sz w:val="22"/>
                <w:szCs w:val="22"/>
              </w:rPr>
              <w:t>ology</w:t>
            </w:r>
          </w:p>
          <w:p w14:paraId="015EFC6C" w14:textId="2D3BF227" w:rsidR="0065012F" w:rsidRPr="00204003" w:rsidRDefault="00204003" w:rsidP="00706DED">
            <w:pPr>
              <w:jc w:val="both"/>
              <w:rPr>
                <w:rFonts w:ascii="Arial" w:hAnsi="Arial" w:cs="Arial"/>
                <w:bCs/>
                <w:sz w:val="22"/>
                <w:szCs w:val="22"/>
              </w:rPr>
            </w:pPr>
            <w:r w:rsidRPr="002A585B">
              <w:rPr>
                <w:rFonts w:ascii="Arial" w:hAnsi="Arial" w:cs="Arial"/>
                <w:bCs/>
                <w:sz w:val="22"/>
                <w:szCs w:val="22"/>
              </w:rPr>
              <w:t>To provide insights into relevant capacities for different actors and settings, we bring together findings from two surveys – a household survey and a municipal survey – to explore the capacity-action relationship. Our study area is Bavaria in Southern Germany, one of Europe's economically strongest and wealthiest regions, but also increasingly affected by climate change impacts such as drought and flooding. We collected data from 944 Bavarian municipalities and 1,571 rural Upper Bavarian households and supplemented it with official statistics. Using descriptive statistics, we take stock of their adaptive capacity and apply regression analysis to examine whether adaptive capacity fosters the implementation of adaptation measures.</w:t>
            </w:r>
          </w:p>
          <w:p w14:paraId="15C78DBC" w14:textId="77777777" w:rsidR="00204003" w:rsidRDefault="00204003" w:rsidP="00706DED">
            <w:pPr>
              <w:jc w:val="both"/>
              <w:rPr>
                <w:rFonts w:ascii="Arial" w:hAnsi="Arial" w:cs="Arial"/>
                <w:b/>
                <w:sz w:val="22"/>
                <w:szCs w:val="22"/>
              </w:rPr>
            </w:pPr>
          </w:p>
          <w:p w14:paraId="62DAA8AE" w14:textId="77777777" w:rsidR="0065012F" w:rsidRDefault="0065012F" w:rsidP="00706DED">
            <w:pPr>
              <w:jc w:val="both"/>
              <w:rPr>
                <w:rFonts w:ascii="Arial" w:hAnsi="Arial" w:cs="Arial"/>
                <w:b/>
                <w:sz w:val="22"/>
                <w:szCs w:val="22"/>
              </w:rPr>
            </w:pPr>
            <w:r>
              <w:rPr>
                <w:rFonts w:ascii="Arial" w:hAnsi="Arial" w:cs="Arial"/>
                <w:b/>
                <w:sz w:val="22"/>
                <w:szCs w:val="22"/>
              </w:rPr>
              <w:t>F</w:t>
            </w:r>
            <w:r w:rsidRPr="0065012F">
              <w:rPr>
                <w:rFonts w:ascii="Arial" w:hAnsi="Arial" w:cs="Arial"/>
                <w:b/>
                <w:sz w:val="22"/>
                <w:szCs w:val="22"/>
              </w:rPr>
              <w:t>inding</w:t>
            </w:r>
            <w:r>
              <w:rPr>
                <w:rFonts w:ascii="Arial" w:hAnsi="Arial" w:cs="Arial"/>
                <w:b/>
                <w:sz w:val="22"/>
                <w:szCs w:val="22"/>
              </w:rPr>
              <w:t>s</w:t>
            </w:r>
          </w:p>
          <w:p w14:paraId="6EA7B469" w14:textId="77777777" w:rsidR="00204003" w:rsidRPr="00204003" w:rsidRDefault="00204003" w:rsidP="00204003">
            <w:pPr>
              <w:jc w:val="both"/>
              <w:rPr>
                <w:rFonts w:ascii="Arial" w:hAnsi="Arial" w:cs="Arial"/>
                <w:bCs/>
                <w:sz w:val="22"/>
                <w:szCs w:val="22"/>
              </w:rPr>
            </w:pPr>
            <w:r w:rsidRPr="00204003">
              <w:rPr>
                <w:rFonts w:ascii="Arial" w:hAnsi="Arial" w:cs="Arial"/>
                <w:bCs/>
                <w:sz w:val="22"/>
                <w:szCs w:val="22"/>
              </w:rPr>
              <w:t xml:space="preserve">For both actor groups, we identify a gap between adaptive capacity and adaptation action. Despite comparatively high levels of resource-based generic capacity (e.g., financial means, human capital), adaptation actions remain small in scale, incoherent, and predominantly reactive. Specific capacity –measured, for example, by prior flood experience, risk awareness and perceived/assigned responsibility – is comparatively low. </w:t>
            </w:r>
          </w:p>
          <w:p w14:paraId="32C11DE0" w14:textId="77777777" w:rsidR="00204003" w:rsidRPr="00204003" w:rsidRDefault="00204003" w:rsidP="00204003">
            <w:pPr>
              <w:jc w:val="both"/>
              <w:rPr>
                <w:rFonts w:ascii="Arial" w:hAnsi="Arial" w:cs="Arial"/>
                <w:bCs/>
                <w:sz w:val="22"/>
                <w:szCs w:val="22"/>
              </w:rPr>
            </w:pPr>
            <w:r w:rsidRPr="00204003">
              <w:rPr>
                <w:rFonts w:ascii="Arial" w:hAnsi="Arial" w:cs="Arial"/>
                <w:bCs/>
                <w:sz w:val="22"/>
                <w:szCs w:val="22"/>
              </w:rPr>
              <w:t xml:space="preserve">The statistical models reveal that adaptation decisions of households and municipalities are primarily driven by specific adaptive capacity. For households, the findings indicate that while a certain stock of assets is necessary, additional capital gains do not translate into more adaptation. Many households possess the financial capacity to implement adaptation measures but fail to realise this potential due to a lack of specific capacity. </w:t>
            </w:r>
          </w:p>
          <w:p w14:paraId="26DC99F1" w14:textId="35A3EC6C" w:rsidR="0065012F" w:rsidRPr="00204003" w:rsidRDefault="00204003" w:rsidP="00204003">
            <w:pPr>
              <w:jc w:val="both"/>
              <w:rPr>
                <w:rFonts w:ascii="Arial" w:hAnsi="Arial" w:cs="Arial"/>
                <w:bCs/>
                <w:sz w:val="22"/>
                <w:szCs w:val="22"/>
              </w:rPr>
            </w:pPr>
            <w:r w:rsidRPr="00204003">
              <w:rPr>
                <w:rFonts w:ascii="Arial" w:hAnsi="Arial" w:cs="Arial"/>
                <w:bCs/>
                <w:sz w:val="22"/>
                <w:szCs w:val="22"/>
              </w:rPr>
              <w:lastRenderedPageBreak/>
              <w:t>Similarly, municipalities require a baseline level of financial and human capital; however, political will and clearly assigned responsibilities within the administration emerge as key determinants of adaptation action.</w:t>
            </w:r>
          </w:p>
          <w:p w14:paraId="0710B7AB" w14:textId="77777777" w:rsidR="00204003" w:rsidRDefault="00204003" w:rsidP="00706DED">
            <w:pPr>
              <w:jc w:val="both"/>
              <w:rPr>
                <w:rFonts w:ascii="Arial" w:hAnsi="Arial" w:cs="Arial"/>
                <w:b/>
                <w:sz w:val="22"/>
                <w:szCs w:val="22"/>
              </w:rPr>
            </w:pPr>
          </w:p>
          <w:p w14:paraId="261EC656" w14:textId="2669F05C" w:rsidR="00C8423A" w:rsidRDefault="0065012F" w:rsidP="00706DED">
            <w:pPr>
              <w:jc w:val="both"/>
              <w:rPr>
                <w:rFonts w:ascii="Arial" w:hAnsi="Arial" w:cs="Arial"/>
                <w:b/>
                <w:sz w:val="22"/>
                <w:szCs w:val="22"/>
              </w:rPr>
            </w:pPr>
            <w:r>
              <w:rPr>
                <w:rFonts w:ascii="Arial" w:hAnsi="Arial" w:cs="Arial"/>
                <w:b/>
                <w:sz w:val="22"/>
                <w:szCs w:val="22"/>
              </w:rPr>
              <w:t>S</w:t>
            </w:r>
            <w:r w:rsidRPr="0065012F">
              <w:rPr>
                <w:rFonts w:ascii="Arial" w:hAnsi="Arial" w:cs="Arial"/>
                <w:b/>
                <w:sz w:val="22"/>
                <w:szCs w:val="22"/>
              </w:rPr>
              <w:t xml:space="preserve">ignificance of the work for policy and practice </w:t>
            </w:r>
          </w:p>
          <w:p w14:paraId="7B7C322B" w14:textId="77777777" w:rsidR="00204003" w:rsidRPr="002A585B" w:rsidRDefault="00204003" w:rsidP="00204003">
            <w:pPr>
              <w:jc w:val="both"/>
              <w:rPr>
                <w:rFonts w:ascii="Arial" w:hAnsi="Arial" w:cs="Arial"/>
                <w:bCs/>
                <w:sz w:val="22"/>
                <w:szCs w:val="22"/>
              </w:rPr>
            </w:pPr>
            <w:r w:rsidRPr="002A585B">
              <w:rPr>
                <w:rFonts w:ascii="Arial" w:hAnsi="Arial" w:cs="Arial"/>
                <w:bCs/>
                <w:sz w:val="22"/>
                <w:szCs w:val="22"/>
              </w:rPr>
              <w:t xml:space="preserve">For households, our findings clearly demonstrate that increasing specific capacity can benefit all societal groups, whereas strengthening generic capacity is primarily important for underprivileged groups (Schubert et al. 2024). </w:t>
            </w:r>
          </w:p>
          <w:p w14:paraId="669D8B7D" w14:textId="77777777" w:rsidR="00204003" w:rsidRPr="002A585B" w:rsidRDefault="00204003" w:rsidP="00204003">
            <w:pPr>
              <w:jc w:val="both"/>
              <w:rPr>
                <w:rFonts w:ascii="Arial" w:hAnsi="Arial" w:cs="Arial"/>
                <w:bCs/>
                <w:sz w:val="22"/>
                <w:szCs w:val="22"/>
              </w:rPr>
            </w:pPr>
            <w:r w:rsidRPr="002A585B">
              <w:rPr>
                <w:rFonts w:ascii="Arial" w:hAnsi="Arial" w:cs="Arial"/>
                <w:bCs/>
                <w:sz w:val="22"/>
                <w:szCs w:val="22"/>
              </w:rPr>
              <w:t>Municipalities would benefit from putting climate adaptation higher on the political agenda by establishing dedicated processes and responsibilities while also ensuring sufficient financial and personnel resources for effective implementation.</w:t>
            </w:r>
          </w:p>
          <w:p w14:paraId="44FD1B98" w14:textId="77777777" w:rsidR="00204003" w:rsidRPr="002A585B" w:rsidRDefault="00204003" w:rsidP="00204003">
            <w:pPr>
              <w:jc w:val="both"/>
              <w:rPr>
                <w:rFonts w:ascii="Arial" w:hAnsi="Arial" w:cs="Arial"/>
                <w:bCs/>
                <w:sz w:val="22"/>
                <w:szCs w:val="22"/>
              </w:rPr>
            </w:pPr>
            <w:r w:rsidRPr="002A585B">
              <w:rPr>
                <w:rFonts w:ascii="Arial" w:hAnsi="Arial" w:cs="Arial"/>
                <w:bCs/>
                <w:sz w:val="22"/>
                <w:szCs w:val="22"/>
              </w:rPr>
              <w:t>Finally, city-citizen collaborations that facilitate knowledge exchange on climate risks and clarify responsibilities could be an effective strategy to enhance adaptive capacity and foster adaptation efforts.</w:t>
            </w:r>
          </w:p>
          <w:p w14:paraId="43CB2428" w14:textId="77777777" w:rsidR="00BE58D6" w:rsidRPr="00204003" w:rsidRDefault="00BE58D6" w:rsidP="00706DED">
            <w:pPr>
              <w:jc w:val="both"/>
              <w:rPr>
                <w:rFonts w:ascii="Arial" w:hAnsi="Arial" w:cs="Arial"/>
                <w:bCs/>
                <w:sz w:val="22"/>
                <w:szCs w:val="22"/>
              </w:rPr>
            </w:pPr>
          </w:p>
          <w:p w14:paraId="2CBAECD6" w14:textId="729DADBB" w:rsidR="009F4EA0" w:rsidRPr="000D7047" w:rsidRDefault="009F4EA0" w:rsidP="00706DED">
            <w:pPr>
              <w:jc w:val="both"/>
              <w:rPr>
                <w:rFonts w:ascii="Arial" w:hAnsi="Arial" w:cs="Arial"/>
                <w:b/>
                <w:sz w:val="22"/>
                <w:szCs w:val="22"/>
              </w:rPr>
            </w:pPr>
          </w:p>
        </w:tc>
      </w:tr>
    </w:tbl>
    <w:p w14:paraId="14FC3BE1" w14:textId="1ED2D544" w:rsidR="00C8423A" w:rsidRDefault="00C8423A" w:rsidP="00375B20">
      <w:pPr>
        <w:tabs>
          <w:tab w:val="left" w:pos="8931"/>
        </w:tabs>
      </w:pPr>
    </w:p>
    <w:p w14:paraId="15AC9FEF" w14:textId="15B67474" w:rsidR="009010B0" w:rsidRDefault="009010B0" w:rsidP="00247C60"/>
    <w:p w14:paraId="53FB5416" w14:textId="77777777" w:rsidR="00204003" w:rsidRPr="002A585B" w:rsidRDefault="00204003" w:rsidP="00204003">
      <w:pPr>
        <w:rPr>
          <w:rFonts w:ascii="Arial" w:hAnsi="Arial" w:cs="Arial"/>
          <w:b/>
          <w:bCs/>
          <w:sz w:val="22"/>
          <w:szCs w:val="22"/>
        </w:rPr>
      </w:pPr>
      <w:r w:rsidRPr="002A585B">
        <w:rPr>
          <w:rFonts w:ascii="Arial" w:hAnsi="Arial" w:cs="Arial"/>
          <w:b/>
          <w:bCs/>
          <w:sz w:val="22"/>
          <w:szCs w:val="22"/>
        </w:rPr>
        <w:t>Literature</w:t>
      </w:r>
    </w:p>
    <w:p w14:paraId="6BD5B96A" w14:textId="77777777" w:rsidR="00204003" w:rsidRDefault="00204003" w:rsidP="00204003">
      <w:pPr>
        <w:rPr>
          <w:rFonts w:ascii="Arial" w:hAnsi="Arial" w:cs="Arial"/>
          <w:sz w:val="22"/>
          <w:szCs w:val="22"/>
        </w:rPr>
      </w:pPr>
    </w:p>
    <w:p w14:paraId="01370728" w14:textId="77777777" w:rsidR="00204003" w:rsidRDefault="00204003" w:rsidP="00204003">
      <w:pPr>
        <w:ind w:left="426" w:hanging="426"/>
        <w:jc w:val="both"/>
        <w:rPr>
          <w:rFonts w:ascii="Arial" w:hAnsi="Arial" w:cs="Arial"/>
          <w:sz w:val="22"/>
          <w:szCs w:val="22"/>
        </w:rPr>
      </w:pPr>
      <w:r w:rsidRPr="002A585B">
        <w:rPr>
          <w:rFonts w:ascii="Arial" w:hAnsi="Arial" w:cs="Arial"/>
          <w:sz w:val="22"/>
          <w:szCs w:val="22"/>
        </w:rPr>
        <w:t xml:space="preserve">Ara Begum, R.; Lempert, R.; Ali, E.; Benjaminsen, T. A.; Bernauer, T.; Cramer, W.; Cui, X.; Mach, K.; Nagy, G.; Stenseth, N. C.; Sukumar, R. &amp; Wester, P. (2022): Point of Departure and Key Concepts. In: IPCC (Ed.): Climate Change 2022 – Impacts, Adaptation and Vulnerability. Cambridge &amp; New York, Cambridge University Press, pp. 121–196. </w:t>
      </w:r>
      <w:hyperlink r:id="rId8" w:history="1">
        <w:r w:rsidRPr="00EE759A">
          <w:rPr>
            <w:rStyle w:val="Hyperlink"/>
            <w:rFonts w:ascii="Arial" w:hAnsi="Arial" w:cs="Arial"/>
            <w:sz w:val="22"/>
            <w:szCs w:val="22"/>
          </w:rPr>
          <w:t>https://doi.org/10.1017/9781009325844.003</w:t>
        </w:r>
      </w:hyperlink>
      <w:r w:rsidRPr="002A585B">
        <w:rPr>
          <w:rFonts w:ascii="Arial" w:hAnsi="Arial" w:cs="Arial"/>
          <w:sz w:val="22"/>
          <w:szCs w:val="22"/>
        </w:rPr>
        <w:t>.</w:t>
      </w:r>
    </w:p>
    <w:p w14:paraId="371A2F85" w14:textId="77777777" w:rsidR="00204003" w:rsidRPr="002A585B" w:rsidRDefault="00204003" w:rsidP="00204003">
      <w:pPr>
        <w:ind w:left="426" w:hanging="426"/>
        <w:jc w:val="both"/>
        <w:rPr>
          <w:rFonts w:ascii="Arial" w:hAnsi="Arial" w:cs="Arial"/>
          <w:sz w:val="22"/>
          <w:szCs w:val="22"/>
        </w:rPr>
      </w:pPr>
    </w:p>
    <w:p w14:paraId="029DDEAF" w14:textId="77777777" w:rsidR="00204003" w:rsidRDefault="00204003" w:rsidP="00204003">
      <w:pPr>
        <w:ind w:left="426" w:hanging="426"/>
        <w:jc w:val="both"/>
        <w:rPr>
          <w:rFonts w:ascii="Arial" w:hAnsi="Arial" w:cs="Arial"/>
          <w:sz w:val="22"/>
          <w:szCs w:val="22"/>
        </w:rPr>
      </w:pPr>
      <w:r w:rsidRPr="002A585B">
        <w:rPr>
          <w:rFonts w:ascii="Arial" w:hAnsi="Arial" w:cs="Arial"/>
          <w:sz w:val="22"/>
          <w:szCs w:val="22"/>
        </w:rPr>
        <w:t xml:space="preserve">Schubert, A.; von Streit, A. &amp; </w:t>
      </w:r>
      <w:proofErr w:type="spellStart"/>
      <w:r w:rsidRPr="002A585B">
        <w:rPr>
          <w:rFonts w:ascii="Arial" w:hAnsi="Arial" w:cs="Arial"/>
          <w:sz w:val="22"/>
          <w:szCs w:val="22"/>
        </w:rPr>
        <w:t>Garschagen</w:t>
      </w:r>
      <w:proofErr w:type="spellEnd"/>
      <w:r w:rsidRPr="002A585B">
        <w:rPr>
          <w:rFonts w:ascii="Arial" w:hAnsi="Arial" w:cs="Arial"/>
          <w:sz w:val="22"/>
          <w:szCs w:val="22"/>
        </w:rPr>
        <w:t xml:space="preserve">, M. (2024): Unravelling the capacity-action gap in flood risk adaptation. In: Natural Hazards Earth System Science Discussion [Preprint, revised manuscript accepted for publication]. </w:t>
      </w:r>
      <w:hyperlink r:id="rId9" w:history="1">
        <w:r w:rsidRPr="00EE759A">
          <w:rPr>
            <w:rStyle w:val="Hyperlink"/>
            <w:rFonts w:ascii="Arial" w:hAnsi="Arial" w:cs="Arial"/>
            <w:sz w:val="22"/>
            <w:szCs w:val="22"/>
          </w:rPr>
          <w:t>https://doi.org/10.5194/nhess-2024-121</w:t>
        </w:r>
      </w:hyperlink>
      <w:r w:rsidRPr="002A585B">
        <w:rPr>
          <w:rFonts w:ascii="Arial" w:hAnsi="Arial" w:cs="Arial"/>
          <w:sz w:val="22"/>
          <w:szCs w:val="22"/>
        </w:rPr>
        <w:t>.</w:t>
      </w:r>
    </w:p>
    <w:p w14:paraId="7D748496" w14:textId="77777777" w:rsidR="00204003" w:rsidRPr="002A585B" w:rsidRDefault="00204003" w:rsidP="00204003">
      <w:pPr>
        <w:ind w:left="426" w:hanging="426"/>
        <w:jc w:val="both"/>
        <w:rPr>
          <w:rFonts w:ascii="Arial" w:hAnsi="Arial" w:cs="Arial"/>
          <w:sz w:val="22"/>
          <w:szCs w:val="22"/>
        </w:rPr>
      </w:pPr>
    </w:p>
    <w:p w14:paraId="7A0F645A" w14:textId="77777777" w:rsidR="00204003" w:rsidRPr="002A585B" w:rsidRDefault="00204003" w:rsidP="00204003">
      <w:pPr>
        <w:ind w:left="426" w:hanging="426"/>
        <w:jc w:val="both"/>
        <w:rPr>
          <w:rFonts w:ascii="Arial" w:hAnsi="Arial" w:cs="Arial"/>
          <w:sz w:val="22"/>
          <w:szCs w:val="22"/>
        </w:rPr>
      </w:pPr>
      <w:r w:rsidRPr="002A585B">
        <w:rPr>
          <w:rFonts w:ascii="Arial" w:hAnsi="Arial" w:cs="Arial"/>
          <w:sz w:val="22"/>
          <w:szCs w:val="22"/>
        </w:rPr>
        <w:t>Siders, A. R. (2019): Adaptive capacity to climate change: A synthesis of concepts, methods, and findings in a fragmented field. In: Wiley Interdisciplinary Reviews: Climate Change 10. https://doi.org/10.1002/wcc.573.</w:t>
      </w:r>
    </w:p>
    <w:p w14:paraId="44E2A6B8" w14:textId="77777777" w:rsidR="00204003" w:rsidRPr="00C26081" w:rsidRDefault="00204003" w:rsidP="00247C60"/>
    <w:sectPr w:rsidR="00204003"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D763110"/>
    <w:multiLevelType w:val="hybridMultilevel"/>
    <w:tmpl w:val="FA982784"/>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3"/>
  </w:num>
  <w:num w:numId="3" w16cid:durableId="1316374630">
    <w:abstractNumId w:val="1"/>
  </w:num>
  <w:num w:numId="4" w16cid:durableId="5226001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105E39"/>
    <w:rsid w:val="00132AE5"/>
    <w:rsid w:val="00155315"/>
    <w:rsid w:val="00204003"/>
    <w:rsid w:val="00247C60"/>
    <w:rsid w:val="00256963"/>
    <w:rsid w:val="00267AC8"/>
    <w:rsid w:val="002E3AA3"/>
    <w:rsid w:val="00317356"/>
    <w:rsid w:val="0034503D"/>
    <w:rsid w:val="00354C31"/>
    <w:rsid w:val="00375B20"/>
    <w:rsid w:val="00386D01"/>
    <w:rsid w:val="004049E7"/>
    <w:rsid w:val="00462B90"/>
    <w:rsid w:val="004828A0"/>
    <w:rsid w:val="004B69C7"/>
    <w:rsid w:val="004D193B"/>
    <w:rsid w:val="004F4CE8"/>
    <w:rsid w:val="004F5C81"/>
    <w:rsid w:val="0053222C"/>
    <w:rsid w:val="005469BD"/>
    <w:rsid w:val="00550B17"/>
    <w:rsid w:val="005854B8"/>
    <w:rsid w:val="00602112"/>
    <w:rsid w:val="0065012F"/>
    <w:rsid w:val="0068043B"/>
    <w:rsid w:val="00681CA7"/>
    <w:rsid w:val="008235E8"/>
    <w:rsid w:val="008773DF"/>
    <w:rsid w:val="008B01BA"/>
    <w:rsid w:val="008B50A0"/>
    <w:rsid w:val="008C0C35"/>
    <w:rsid w:val="008C22AD"/>
    <w:rsid w:val="008C2633"/>
    <w:rsid w:val="008E3D8D"/>
    <w:rsid w:val="008F2F93"/>
    <w:rsid w:val="009010B0"/>
    <w:rsid w:val="00906B39"/>
    <w:rsid w:val="00926B0C"/>
    <w:rsid w:val="00963443"/>
    <w:rsid w:val="009C2151"/>
    <w:rsid w:val="009C374A"/>
    <w:rsid w:val="009F4EA0"/>
    <w:rsid w:val="00B026E8"/>
    <w:rsid w:val="00BA0872"/>
    <w:rsid w:val="00BA26BB"/>
    <w:rsid w:val="00BC6810"/>
    <w:rsid w:val="00BE0B4D"/>
    <w:rsid w:val="00BE58D6"/>
    <w:rsid w:val="00C26081"/>
    <w:rsid w:val="00C4126D"/>
    <w:rsid w:val="00C74F1D"/>
    <w:rsid w:val="00C76C99"/>
    <w:rsid w:val="00C8423A"/>
    <w:rsid w:val="00CE53FE"/>
    <w:rsid w:val="00D716AD"/>
    <w:rsid w:val="00DB7929"/>
    <w:rsid w:val="00DD1BB3"/>
    <w:rsid w:val="00E406EB"/>
    <w:rsid w:val="00E612FF"/>
    <w:rsid w:val="00EB1B31"/>
    <w:rsid w:val="00F0393D"/>
    <w:rsid w:val="00F818D6"/>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character" w:styleId="Hyperlink">
    <w:name w:val="Hyperlink"/>
    <w:basedOn w:val="DefaultParagraphFont"/>
    <w:uiPriority w:val="99"/>
    <w:unhideWhenUsed/>
    <w:rsid w:val="0020400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7/9781009325844.003"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5194/nhess-2024-1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AE3C27-E4B1-4CD8-8899-4BBC2FC04F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75252D-E591-453A-8164-E6940B4D4083}">
  <ds:schemaRefs>
    <ds:schemaRef ds:uri="http://purl.org/dc/terms/"/>
    <ds:schemaRef ds:uri="http://www.w3.org/XML/1998/namespace"/>
    <ds:schemaRef ds:uri="http://schemas.microsoft.com/office/2006/documentManagement/types"/>
    <ds:schemaRef ds:uri="http://schemas.openxmlformats.org/package/2006/metadata/core-properties"/>
    <ds:schemaRef ds:uri="cab52c9b-ab33-4221-8af9-54f8f2b86a80"/>
    <ds:schemaRef ds:uri="http://purl.org/dc/elements/1.1/"/>
    <ds:schemaRef ds:uri="http://purl.org/dc/dcmitype/"/>
    <ds:schemaRef ds:uri="http://schemas.microsoft.com/office/infopath/2007/PartnerControls"/>
    <ds:schemaRef ds:uri="9c8a2b7b-0bee-4c48-b0a6-23db8982d3bc"/>
    <ds:schemaRef ds:uri="6911e96c-4cc4-42d5-8e43-f93924cf6a05"/>
    <ds:schemaRef ds:uri="http://schemas.microsoft.com/office/2006/metadata/properties"/>
  </ds:schemaRefs>
</ds:datastoreItem>
</file>

<file path=customXml/itemProps3.xml><?xml version="1.0" encoding="utf-8"?>
<ds:datastoreItem xmlns:ds="http://schemas.openxmlformats.org/officeDocument/2006/customXml" ds:itemID="{1BE6CC85-CFD0-4BCF-91F2-0190070A1F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721</Words>
  <Characters>4114</Characters>
  <Application>Microsoft Office Word</Application>
  <DocSecurity>0</DocSecurity>
  <Lines>34</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Bethany Yee</cp:lastModifiedBy>
  <cp:revision>3</cp:revision>
  <dcterms:created xsi:type="dcterms:W3CDTF">2025-03-01T19:09:00Z</dcterms:created>
  <dcterms:modified xsi:type="dcterms:W3CDTF">2025-08-13T19:12:00Z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