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2C2A2AC2" w:rsidR="001564A4" w:rsidRPr="0050053A" w:rsidRDefault="00A3792E" w:rsidP="000A28E2">
            <w:pPr>
              <w:spacing w:before="120" w:after="120"/>
              <w:rPr>
                <w:rFonts w:ascii="Arial" w:hAnsi="Arial" w:cs="Arial"/>
                <w:b/>
                <w:sz w:val="22"/>
                <w:szCs w:val="22"/>
                <w:lang w:val="en-US" w:eastAsia="zh-CN"/>
              </w:rPr>
            </w:pPr>
            <w:proofErr w:type="gramStart"/>
            <w:r>
              <w:rPr>
                <w:rFonts w:ascii="Arial" w:hAnsi="Arial" w:cs="Arial"/>
                <w:b/>
                <w:sz w:val="22"/>
                <w:szCs w:val="22"/>
                <w:lang w:val="en-US" w:eastAsia="en-GB"/>
              </w:rPr>
              <w:t>Culturally-informed</w:t>
            </w:r>
            <w:proofErr w:type="gramEnd"/>
            <w:r>
              <w:rPr>
                <w:rFonts w:ascii="Arial" w:hAnsi="Arial" w:cs="Arial"/>
                <w:b/>
                <w:sz w:val="22"/>
                <w:szCs w:val="22"/>
                <w:lang w:val="en-US" w:eastAsia="en-GB"/>
              </w:rPr>
              <w:t xml:space="preserve"> strategies for chronic wet cough in multiple Indigenous communities</w:t>
            </w:r>
          </w:p>
        </w:tc>
      </w:tr>
      <w:tr w:rsidR="001564A4" w:rsidRPr="0050053A" w14:paraId="0E2E035C" w14:textId="77777777" w:rsidTr="000A28E2">
        <w:trPr>
          <w:jc w:val="center"/>
        </w:trPr>
        <w:tc>
          <w:tcPr>
            <w:tcW w:w="8640" w:type="dxa"/>
            <w:shd w:val="clear" w:color="auto" w:fill="auto"/>
          </w:tcPr>
          <w:p w14:paraId="618CE680" w14:textId="77777777" w:rsidR="00A3792E" w:rsidRPr="00471E32" w:rsidRDefault="00A3792E" w:rsidP="00A3792E">
            <w:pPr>
              <w:pStyle w:val="NormalWeb"/>
              <w:shd w:val="clear" w:color="auto" w:fill="FFFFFF"/>
              <w:spacing w:before="0" w:beforeAutospacing="0" w:after="0" w:afterAutospacing="0"/>
              <w:rPr>
                <w:rFonts w:ascii="Arial" w:hAnsi="Arial" w:cs="Arial"/>
                <w:sz w:val="22"/>
                <w:szCs w:val="22"/>
                <w:bdr w:val="none" w:sz="0" w:space="0" w:color="auto" w:frame="1"/>
              </w:rPr>
            </w:pPr>
            <w:r w:rsidRPr="00471E32">
              <w:rPr>
                <w:rFonts w:ascii="Arial" w:hAnsi="Arial" w:cs="Arial"/>
                <w:sz w:val="22"/>
                <w:szCs w:val="22"/>
                <w:bdr w:val="none" w:sz="0" w:space="0" w:color="auto" w:frame="1"/>
              </w:rPr>
              <w:t>Gloria LAU</w:t>
            </w:r>
            <w:r>
              <w:rPr>
                <w:rFonts w:ascii="Arial" w:hAnsi="Arial" w:cs="Arial"/>
                <w:sz w:val="22"/>
                <w:szCs w:val="22"/>
                <w:bdr w:val="none" w:sz="0" w:space="0" w:color="auto" w:frame="1"/>
                <w:vertAlign w:val="superscript"/>
              </w:rPr>
              <w:t>1</w:t>
            </w:r>
            <w:r>
              <w:rPr>
                <w:rFonts w:ascii="Arial" w:hAnsi="Arial" w:cs="Arial"/>
                <w:sz w:val="22"/>
                <w:szCs w:val="22"/>
                <w:bdr w:val="none" w:sz="0" w:space="0" w:color="auto" w:frame="1"/>
              </w:rPr>
              <w:t xml:space="preserve">, </w:t>
            </w:r>
            <w:r w:rsidRPr="00471E32">
              <w:rPr>
                <w:rFonts w:ascii="Arial" w:hAnsi="Arial" w:cs="Arial"/>
                <w:sz w:val="22"/>
                <w:szCs w:val="22"/>
                <w:bdr w:val="none" w:sz="0" w:space="0" w:color="auto" w:frame="1"/>
              </w:rPr>
              <w:t>Pam LAIRD</w:t>
            </w:r>
            <w:r>
              <w:rPr>
                <w:rFonts w:ascii="Arial" w:hAnsi="Arial" w:cs="Arial"/>
                <w:sz w:val="22"/>
                <w:szCs w:val="22"/>
                <w:bdr w:val="none" w:sz="0" w:space="0" w:color="auto" w:frame="1"/>
                <w:vertAlign w:val="superscript"/>
              </w:rPr>
              <w:t>1</w:t>
            </w:r>
            <w:r>
              <w:rPr>
                <w:rFonts w:ascii="Arial" w:hAnsi="Arial" w:cs="Arial"/>
                <w:sz w:val="22"/>
                <w:szCs w:val="22"/>
                <w:bdr w:val="none" w:sz="0" w:space="0" w:color="auto" w:frame="1"/>
              </w:rPr>
              <w:t xml:space="preserve">, </w:t>
            </w:r>
            <w:r w:rsidRPr="00471E32">
              <w:rPr>
                <w:rFonts w:ascii="Arial" w:hAnsi="Arial" w:cs="Arial"/>
                <w:sz w:val="22"/>
                <w:szCs w:val="22"/>
                <w:bdr w:val="none" w:sz="0" w:space="0" w:color="auto" w:frame="1"/>
              </w:rPr>
              <w:t>Robyn AITKEN</w:t>
            </w:r>
            <w:r>
              <w:rPr>
                <w:rFonts w:ascii="Arial" w:hAnsi="Arial" w:cs="Arial"/>
                <w:sz w:val="22"/>
                <w:szCs w:val="22"/>
                <w:bdr w:val="none" w:sz="0" w:space="0" w:color="auto" w:frame="1"/>
                <w:vertAlign w:val="superscript"/>
              </w:rPr>
              <w:t>2</w:t>
            </w:r>
            <w:r>
              <w:rPr>
                <w:rFonts w:ascii="Arial" w:hAnsi="Arial" w:cs="Arial"/>
                <w:sz w:val="22"/>
                <w:szCs w:val="22"/>
                <w:bdr w:val="none" w:sz="0" w:space="0" w:color="auto" w:frame="1"/>
              </w:rPr>
              <w:t xml:space="preserve">, </w:t>
            </w:r>
            <w:r w:rsidRPr="00471E32">
              <w:rPr>
                <w:rFonts w:ascii="Arial" w:hAnsi="Arial" w:cs="Arial"/>
                <w:sz w:val="22"/>
                <w:szCs w:val="22"/>
                <w:bdr w:val="none" w:sz="0" w:space="0" w:color="auto" w:frame="1"/>
              </w:rPr>
              <w:t xml:space="preserve">Melanie </w:t>
            </w:r>
            <w:r w:rsidRPr="00836FB5">
              <w:rPr>
                <w:rFonts w:ascii="Arial" w:hAnsi="Arial" w:cs="Arial"/>
                <w:sz w:val="22"/>
                <w:szCs w:val="22"/>
                <w:bdr w:val="none" w:sz="0" w:space="0" w:color="auto" w:frame="1"/>
              </w:rPr>
              <w:t>BARWICK</w:t>
            </w:r>
            <w:r w:rsidRPr="00836FB5">
              <w:rPr>
                <w:rFonts w:ascii="Arial" w:hAnsi="Arial" w:cs="Arial"/>
                <w:sz w:val="22"/>
                <w:szCs w:val="22"/>
                <w:bdr w:val="none" w:sz="0" w:space="0" w:color="auto" w:frame="1"/>
                <w:vertAlign w:val="superscript"/>
              </w:rPr>
              <w:t>3</w:t>
            </w:r>
            <w:r>
              <w:rPr>
                <w:rFonts w:ascii="Arial" w:hAnsi="Arial" w:cs="Arial"/>
                <w:sz w:val="22"/>
                <w:szCs w:val="22"/>
                <w:bdr w:val="none" w:sz="0" w:space="0" w:color="auto" w:frame="1"/>
              </w:rPr>
              <w:t xml:space="preserve">, </w:t>
            </w:r>
            <w:r w:rsidRPr="00836FB5">
              <w:rPr>
                <w:rFonts w:ascii="Arial" w:hAnsi="Arial" w:cs="Arial"/>
                <w:sz w:val="22"/>
                <w:szCs w:val="22"/>
                <w:bdr w:val="none" w:sz="0" w:space="0" w:color="auto" w:frame="1"/>
              </w:rPr>
              <w:t>Gabrielle</w:t>
            </w:r>
            <w:r w:rsidRPr="00471E32">
              <w:rPr>
                <w:rFonts w:ascii="Arial" w:hAnsi="Arial" w:cs="Arial"/>
                <w:sz w:val="22"/>
                <w:szCs w:val="22"/>
                <w:bdr w:val="none" w:sz="0" w:space="0" w:color="auto" w:frame="1"/>
              </w:rPr>
              <w:t xml:space="preserve"> MCCALLUM</w:t>
            </w:r>
            <w:r>
              <w:rPr>
                <w:rFonts w:ascii="Arial" w:hAnsi="Arial" w:cs="Arial"/>
                <w:sz w:val="22"/>
                <w:szCs w:val="22"/>
                <w:bdr w:val="none" w:sz="0" w:space="0" w:color="auto" w:frame="1"/>
                <w:vertAlign w:val="superscript"/>
              </w:rPr>
              <w:t>4</w:t>
            </w:r>
            <w:r>
              <w:rPr>
                <w:rFonts w:ascii="Arial" w:hAnsi="Arial" w:cs="Arial"/>
                <w:sz w:val="22"/>
                <w:szCs w:val="22"/>
                <w:bdr w:val="none" w:sz="0" w:space="0" w:color="auto" w:frame="1"/>
              </w:rPr>
              <w:t xml:space="preserve">, </w:t>
            </w:r>
            <w:r w:rsidRPr="00471E32">
              <w:rPr>
                <w:rFonts w:ascii="Arial" w:hAnsi="Arial" w:cs="Arial"/>
                <w:sz w:val="22"/>
                <w:szCs w:val="22"/>
                <w:bdr w:val="none" w:sz="0" w:space="0" w:color="auto" w:frame="1"/>
              </w:rPr>
              <w:t>Peter MORRIS</w:t>
            </w:r>
            <w:r>
              <w:rPr>
                <w:rFonts w:ascii="Arial" w:hAnsi="Arial" w:cs="Arial"/>
                <w:sz w:val="22"/>
                <w:szCs w:val="22"/>
                <w:bdr w:val="none" w:sz="0" w:space="0" w:color="auto" w:frame="1"/>
                <w:vertAlign w:val="superscript"/>
              </w:rPr>
              <w:t>4</w:t>
            </w:r>
            <w:r>
              <w:rPr>
                <w:rFonts w:ascii="Arial" w:hAnsi="Arial" w:cs="Arial"/>
                <w:sz w:val="22"/>
                <w:szCs w:val="22"/>
                <w:bdr w:val="none" w:sz="0" w:space="0" w:color="auto" w:frame="1"/>
              </w:rPr>
              <w:t xml:space="preserve">, </w:t>
            </w:r>
            <w:r w:rsidRPr="00471E32">
              <w:rPr>
                <w:rFonts w:ascii="Arial" w:hAnsi="Arial" w:cs="Arial"/>
                <w:sz w:val="22"/>
                <w:szCs w:val="22"/>
                <w:bdr w:val="none" w:sz="0" w:space="0" w:color="auto" w:frame="1"/>
              </w:rPr>
              <w:t>Richard NORMAN</w:t>
            </w:r>
            <w:r>
              <w:rPr>
                <w:rFonts w:ascii="Arial" w:hAnsi="Arial" w:cs="Arial"/>
                <w:sz w:val="22"/>
                <w:szCs w:val="22"/>
                <w:bdr w:val="none" w:sz="0" w:space="0" w:color="auto" w:frame="1"/>
                <w:vertAlign w:val="superscript"/>
              </w:rPr>
              <w:t>5</w:t>
            </w:r>
            <w:r>
              <w:rPr>
                <w:rFonts w:ascii="Arial" w:hAnsi="Arial" w:cs="Arial"/>
                <w:sz w:val="22"/>
                <w:szCs w:val="22"/>
                <w:bdr w:val="none" w:sz="0" w:space="0" w:color="auto" w:frame="1"/>
              </w:rPr>
              <w:t xml:space="preserve">, </w:t>
            </w:r>
            <w:r w:rsidRPr="00471E32">
              <w:rPr>
                <w:rFonts w:ascii="Arial" w:hAnsi="Arial" w:cs="Arial"/>
                <w:sz w:val="22"/>
                <w:szCs w:val="22"/>
                <w:bdr w:val="none" w:sz="0" w:space="0" w:color="auto" w:frame="1"/>
              </w:rPr>
              <w:t>Maree TOOMBS</w:t>
            </w:r>
            <w:r>
              <w:rPr>
                <w:rFonts w:ascii="Arial" w:hAnsi="Arial" w:cs="Arial"/>
                <w:sz w:val="22"/>
                <w:szCs w:val="22"/>
                <w:bdr w:val="none" w:sz="0" w:space="0" w:color="auto" w:frame="1"/>
                <w:vertAlign w:val="superscript"/>
              </w:rPr>
              <w:t>6</w:t>
            </w:r>
            <w:r>
              <w:rPr>
                <w:rFonts w:ascii="Arial" w:hAnsi="Arial" w:cs="Arial"/>
                <w:sz w:val="22"/>
                <w:szCs w:val="22"/>
                <w:bdr w:val="none" w:sz="0" w:space="0" w:color="auto" w:frame="1"/>
              </w:rPr>
              <w:t xml:space="preserve">, </w:t>
            </w:r>
            <w:r w:rsidRPr="00471E32">
              <w:rPr>
                <w:rFonts w:ascii="Arial" w:hAnsi="Arial" w:cs="Arial"/>
                <w:sz w:val="22"/>
                <w:szCs w:val="22"/>
                <w:bdr w:val="none" w:sz="0" w:space="0" w:color="auto" w:frame="1"/>
              </w:rPr>
              <w:t>Roz WALKER</w:t>
            </w:r>
            <w:r>
              <w:rPr>
                <w:rFonts w:ascii="Arial" w:hAnsi="Arial" w:cs="Arial"/>
                <w:sz w:val="22"/>
                <w:szCs w:val="22"/>
                <w:bdr w:val="none" w:sz="0" w:space="0" w:color="auto" w:frame="1"/>
                <w:vertAlign w:val="superscript"/>
              </w:rPr>
              <w:t>7</w:t>
            </w:r>
            <w:r>
              <w:rPr>
                <w:rFonts w:ascii="Arial" w:hAnsi="Arial" w:cs="Arial"/>
                <w:sz w:val="22"/>
                <w:szCs w:val="22"/>
                <w:bdr w:val="none" w:sz="0" w:space="0" w:color="auto" w:frame="1"/>
              </w:rPr>
              <w:t xml:space="preserve">, </w:t>
            </w:r>
            <w:r w:rsidRPr="00471E32">
              <w:rPr>
                <w:rFonts w:ascii="Arial" w:hAnsi="Arial" w:cs="Arial"/>
                <w:sz w:val="22"/>
                <w:szCs w:val="22"/>
                <w:bdr w:val="none" w:sz="0" w:space="0" w:color="auto" w:frame="1"/>
              </w:rPr>
              <w:t>Anne CHANG</w:t>
            </w:r>
            <w:r>
              <w:rPr>
                <w:rFonts w:ascii="Arial" w:hAnsi="Arial" w:cs="Arial"/>
                <w:sz w:val="22"/>
                <w:szCs w:val="22"/>
                <w:bdr w:val="none" w:sz="0" w:space="0" w:color="auto" w:frame="1"/>
                <w:vertAlign w:val="superscript"/>
              </w:rPr>
              <w:t>4,8</w:t>
            </w:r>
            <w:r>
              <w:rPr>
                <w:rFonts w:ascii="Arial" w:hAnsi="Arial" w:cs="Arial"/>
                <w:sz w:val="22"/>
                <w:szCs w:val="22"/>
                <w:bdr w:val="none" w:sz="0" w:space="0" w:color="auto" w:frame="1"/>
              </w:rPr>
              <w:t xml:space="preserve"> and </w:t>
            </w:r>
            <w:r w:rsidRPr="00471E32">
              <w:rPr>
                <w:rFonts w:ascii="Arial" w:hAnsi="Arial" w:cs="Arial"/>
                <w:sz w:val="22"/>
                <w:szCs w:val="22"/>
                <w:bdr w:val="none" w:sz="0" w:space="0" w:color="auto" w:frame="1"/>
              </w:rPr>
              <w:t>André SCHULTZ on behalf of the APPLE Investigator Group*</w:t>
            </w:r>
          </w:p>
          <w:p w14:paraId="7573AFD0" w14:textId="77777777" w:rsidR="00A3792E" w:rsidRPr="00471E32" w:rsidRDefault="00A3792E" w:rsidP="00A3792E">
            <w:pPr>
              <w:pStyle w:val="NormalWeb"/>
              <w:shd w:val="clear" w:color="auto" w:fill="FFFFFF"/>
              <w:spacing w:before="0" w:beforeAutospacing="0" w:after="0" w:afterAutospacing="0"/>
              <w:rPr>
                <w:rFonts w:ascii="Arial" w:hAnsi="Arial" w:cs="Arial"/>
                <w:sz w:val="22"/>
                <w:szCs w:val="22"/>
                <w:bdr w:val="none" w:sz="0" w:space="0" w:color="auto" w:frame="1"/>
              </w:rPr>
            </w:pPr>
          </w:p>
          <w:p w14:paraId="722CAD4E" w14:textId="77777777" w:rsidR="00A3792E" w:rsidRPr="00471E32" w:rsidRDefault="00A3792E" w:rsidP="00A3792E">
            <w:pPr>
              <w:pStyle w:val="NormalWeb"/>
              <w:shd w:val="clear" w:color="auto" w:fill="FFFFFF"/>
              <w:spacing w:before="0" w:beforeAutospacing="0" w:after="0" w:afterAutospacing="0"/>
              <w:rPr>
                <w:rFonts w:ascii="Arial" w:hAnsi="Arial" w:cs="Arial"/>
                <w:sz w:val="22"/>
                <w:szCs w:val="22"/>
                <w:bdr w:val="none" w:sz="0" w:space="0" w:color="auto" w:frame="1"/>
              </w:rPr>
            </w:pPr>
            <w:r w:rsidRPr="00471E32">
              <w:rPr>
                <w:rFonts w:ascii="Arial" w:hAnsi="Arial" w:cs="Arial"/>
                <w:sz w:val="22"/>
                <w:szCs w:val="22"/>
                <w:bdr w:val="none" w:sz="0" w:space="0" w:color="auto" w:frame="1"/>
              </w:rPr>
              <w:t>*</w:t>
            </w:r>
            <w:r w:rsidRPr="00471E32">
              <w:rPr>
                <w:rFonts w:ascii="Arial" w:hAnsi="Arial" w:cs="Arial"/>
                <w:sz w:val="22"/>
                <w:szCs w:val="22"/>
              </w:rPr>
              <w:t>APPLE Investigator Group:</w:t>
            </w:r>
          </w:p>
          <w:p w14:paraId="37017529" w14:textId="77777777" w:rsidR="00A3792E" w:rsidRPr="00471E32" w:rsidRDefault="00A3792E" w:rsidP="00A3792E">
            <w:pPr>
              <w:pStyle w:val="NormalWeb"/>
              <w:spacing w:before="0" w:beforeAutospacing="0" w:after="0" w:afterAutospacing="0"/>
              <w:textAlignment w:val="baseline"/>
              <w:rPr>
                <w:rFonts w:ascii="Arial" w:hAnsi="Arial" w:cs="Arial"/>
                <w:sz w:val="22"/>
                <w:szCs w:val="22"/>
              </w:rPr>
            </w:pPr>
            <w:r w:rsidRPr="00471E32">
              <w:rPr>
                <w:rFonts w:ascii="Arial" w:hAnsi="Arial" w:cs="Arial"/>
                <w:sz w:val="22"/>
                <w:szCs w:val="22"/>
                <w:bdr w:val="none" w:sz="0" w:space="0" w:color="auto" w:frame="1"/>
              </w:rPr>
              <w:t>Liam BEDFORD  </w:t>
            </w:r>
          </w:p>
          <w:p w14:paraId="4DF8680E" w14:textId="77777777" w:rsidR="00A3792E" w:rsidRPr="00471E32" w:rsidRDefault="00A3792E" w:rsidP="00A3792E">
            <w:pPr>
              <w:pStyle w:val="NormalWeb"/>
              <w:spacing w:before="0" w:beforeAutospacing="0" w:after="0" w:afterAutospacing="0"/>
              <w:textAlignment w:val="baseline"/>
              <w:rPr>
                <w:rFonts w:ascii="Arial" w:hAnsi="Arial" w:cs="Arial"/>
                <w:sz w:val="22"/>
                <w:szCs w:val="22"/>
              </w:rPr>
            </w:pPr>
            <w:r w:rsidRPr="00471E32">
              <w:rPr>
                <w:rFonts w:ascii="Arial" w:hAnsi="Arial" w:cs="Arial"/>
                <w:sz w:val="22"/>
                <w:szCs w:val="22"/>
                <w:bdr w:val="none" w:sz="0" w:space="0" w:color="auto" w:frame="1"/>
              </w:rPr>
              <w:t>Emily BOWDEN </w:t>
            </w:r>
          </w:p>
          <w:p w14:paraId="4DBCC9D6" w14:textId="77777777" w:rsidR="00A3792E" w:rsidRPr="007E21C0" w:rsidRDefault="00A3792E" w:rsidP="00A3792E">
            <w:pPr>
              <w:pStyle w:val="NormalWeb"/>
              <w:spacing w:before="0" w:beforeAutospacing="0" w:after="0" w:afterAutospacing="0"/>
              <w:textAlignment w:val="baseline"/>
              <w:rPr>
                <w:rFonts w:ascii="Arial" w:hAnsi="Arial" w:cs="Arial"/>
                <w:sz w:val="22"/>
                <w:szCs w:val="22"/>
                <w:lang w:val="es-ES"/>
              </w:rPr>
            </w:pPr>
            <w:r w:rsidRPr="007E21C0">
              <w:rPr>
                <w:rFonts w:ascii="Arial" w:hAnsi="Arial" w:cs="Arial"/>
                <w:sz w:val="22"/>
                <w:szCs w:val="22"/>
                <w:bdr w:val="none" w:sz="0" w:space="0" w:color="auto" w:frame="1"/>
                <w:lang w:val="es-ES"/>
              </w:rPr>
              <w:t>Angela FUERY </w:t>
            </w:r>
          </w:p>
          <w:p w14:paraId="5E97EE08" w14:textId="77777777" w:rsidR="00A3792E" w:rsidRPr="007E21C0" w:rsidRDefault="00A3792E" w:rsidP="00A3792E">
            <w:pPr>
              <w:pStyle w:val="NormalWeb"/>
              <w:spacing w:before="0" w:beforeAutospacing="0" w:after="0" w:afterAutospacing="0"/>
              <w:textAlignment w:val="baseline"/>
              <w:rPr>
                <w:rFonts w:ascii="Arial" w:hAnsi="Arial" w:cs="Arial"/>
                <w:sz w:val="22"/>
                <w:szCs w:val="22"/>
                <w:lang w:val="es-ES"/>
              </w:rPr>
            </w:pPr>
            <w:r w:rsidRPr="007E21C0">
              <w:rPr>
                <w:rFonts w:ascii="Arial" w:hAnsi="Arial" w:cs="Arial"/>
                <w:sz w:val="22"/>
                <w:szCs w:val="22"/>
                <w:bdr w:val="none" w:sz="0" w:space="0" w:color="auto" w:frame="1"/>
                <w:lang w:val="es-ES"/>
              </w:rPr>
              <w:t>Reece GRIFFIN </w:t>
            </w:r>
          </w:p>
          <w:p w14:paraId="05939A34" w14:textId="77777777" w:rsidR="00A3792E" w:rsidRPr="007E21C0" w:rsidRDefault="00A3792E" w:rsidP="00A3792E">
            <w:pPr>
              <w:pStyle w:val="NormalWeb"/>
              <w:spacing w:before="0" w:beforeAutospacing="0" w:after="0" w:afterAutospacing="0"/>
              <w:textAlignment w:val="baseline"/>
              <w:rPr>
                <w:rFonts w:ascii="Arial" w:hAnsi="Arial" w:cs="Arial"/>
                <w:sz w:val="22"/>
                <w:szCs w:val="22"/>
                <w:lang w:val="es-ES"/>
              </w:rPr>
            </w:pPr>
            <w:proofErr w:type="spellStart"/>
            <w:r w:rsidRPr="007E21C0">
              <w:rPr>
                <w:rFonts w:ascii="Arial" w:hAnsi="Arial" w:cs="Arial"/>
                <w:sz w:val="22"/>
                <w:szCs w:val="22"/>
                <w:bdr w:val="none" w:sz="0" w:space="0" w:color="auto" w:frame="1"/>
                <w:lang w:val="es-ES"/>
              </w:rPr>
              <w:t>Neha</w:t>
            </w:r>
            <w:proofErr w:type="spellEnd"/>
            <w:r w:rsidRPr="007E21C0">
              <w:rPr>
                <w:rFonts w:ascii="Arial" w:hAnsi="Arial" w:cs="Arial"/>
                <w:sz w:val="22"/>
                <w:szCs w:val="22"/>
                <w:bdr w:val="none" w:sz="0" w:space="0" w:color="auto" w:frame="1"/>
                <w:lang w:val="es-ES"/>
              </w:rPr>
              <w:t xml:space="preserve"> JAIN </w:t>
            </w:r>
          </w:p>
          <w:p w14:paraId="0A8F6295" w14:textId="77777777" w:rsidR="00A3792E" w:rsidRPr="007E21C0" w:rsidRDefault="00A3792E" w:rsidP="00A3792E">
            <w:pPr>
              <w:pStyle w:val="NormalWeb"/>
              <w:spacing w:before="0" w:beforeAutospacing="0" w:after="0" w:afterAutospacing="0"/>
              <w:textAlignment w:val="baseline"/>
              <w:rPr>
                <w:rFonts w:ascii="Arial" w:hAnsi="Arial" w:cs="Arial"/>
                <w:sz w:val="22"/>
                <w:szCs w:val="22"/>
                <w:lang w:val="es-ES"/>
              </w:rPr>
            </w:pPr>
            <w:r w:rsidRPr="007E21C0">
              <w:rPr>
                <w:rFonts w:ascii="Arial" w:hAnsi="Arial" w:cs="Arial"/>
                <w:sz w:val="22"/>
                <w:szCs w:val="22"/>
                <w:bdr w:val="none" w:sz="0" w:space="0" w:color="auto" w:frame="1"/>
                <w:lang w:val="es-ES"/>
              </w:rPr>
              <w:t>Mina KINGHORN </w:t>
            </w:r>
          </w:p>
          <w:p w14:paraId="39C5AF9E" w14:textId="77777777" w:rsidR="00A3792E" w:rsidRPr="007E21C0" w:rsidRDefault="00A3792E" w:rsidP="00A3792E">
            <w:pPr>
              <w:pStyle w:val="NormalWeb"/>
              <w:spacing w:before="0" w:beforeAutospacing="0" w:after="0" w:afterAutospacing="0"/>
              <w:textAlignment w:val="baseline"/>
              <w:rPr>
                <w:rFonts w:ascii="Arial" w:hAnsi="Arial" w:cs="Arial"/>
                <w:sz w:val="22"/>
                <w:szCs w:val="22"/>
                <w:lang w:val="es-ES"/>
              </w:rPr>
            </w:pPr>
            <w:proofErr w:type="spellStart"/>
            <w:r w:rsidRPr="007E21C0">
              <w:rPr>
                <w:rFonts w:ascii="Arial" w:hAnsi="Arial" w:cs="Arial"/>
                <w:sz w:val="22"/>
                <w:szCs w:val="22"/>
                <w:bdr w:val="none" w:sz="0" w:space="0" w:color="auto" w:frame="1"/>
                <w:lang w:val="es-ES"/>
              </w:rPr>
              <w:t>Renae</w:t>
            </w:r>
            <w:proofErr w:type="spellEnd"/>
            <w:r w:rsidRPr="007E21C0">
              <w:rPr>
                <w:rFonts w:ascii="Arial" w:hAnsi="Arial" w:cs="Arial"/>
                <w:sz w:val="22"/>
                <w:szCs w:val="22"/>
                <w:bdr w:val="none" w:sz="0" w:space="0" w:color="auto" w:frame="1"/>
                <w:lang w:val="es-ES"/>
              </w:rPr>
              <w:t xml:space="preserve"> MCKENZIE </w:t>
            </w:r>
          </w:p>
          <w:p w14:paraId="6FEF10CB" w14:textId="77777777" w:rsidR="00A3792E" w:rsidRPr="007E21C0" w:rsidRDefault="00A3792E" w:rsidP="00A3792E">
            <w:pPr>
              <w:pStyle w:val="NormalWeb"/>
              <w:spacing w:before="0" w:beforeAutospacing="0" w:after="0" w:afterAutospacing="0"/>
              <w:textAlignment w:val="baseline"/>
              <w:rPr>
                <w:rFonts w:ascii="Arial" w:hAnsi="Arial" w:cs="Arial"/>
                <w:sz w:val="22"/>
                <w:szCs w:val="22"/>
                <w:lang w:val="es-ES"/>
              </w:rPr>
            </w:pPr>
            <w:r w:rsidRPr="007E21C0">
              <w:rPr>
                <w:rFonts w:ascii="Arial" w:hAnsi="Arial" w:cs="Arial"/>
                <w:sz w:val="22"/>
                <w:szCs w:val="22"/>
                <w:bdr w:val="none" w:sz="0" w:space="0" w:color="auto" w:frame="1"/>
                <w:lang w:val="es-ES"/>
              </w:rPr>
              <w:t>Sarah MUNNS </w:t>
            </w:r>
          </w:p>
          <w:p w14:paraId="41643821" w14:textId="77777777" w:rsidR="00A3792E" w:rsidRPr="007E21C0" w:rsidRDefault="00A3792E" w:rsidP="00A3792E">
            <w:pPr>
              <w:pStyle w:val="NormalWeb"/>
              <w:spacing w:before="0" w:beforeAutospacing="0" w:after="0" w:afterAutospacing="0"/>
              <w:textAlignment w:val="baseline"/>
              <w:rPr>
                <w:rFonts w:ascii="Arial" w:hAnsi="Arial" w:cs="Arial"/>
                <w:sz w:val="22"/>
                <w:szCs w:val="22"/>
                <w:lang w:val="it-IT"/>
              </w:rPr>
            </w:pPr>
            <w:r w:rsidRPr="007E21C0">
              <w:rPr>
                <w:rFonts w:ascii="Arial" w:hAnsi="Arial" w:cs="Arial"/>
                <w:sz w:val="22"/>
                <w:szCs w:val="22"/>
                <w:bdr w:val="none" w:sz="0" w:space="0" w:color="auto" w:frame="1"/>
                <w:lang w:val="it-IT"/>
              </w:rPr>
              <w:t>Bhavini PATEL </w:t>
            </w:r>
          </w:p>
          <w:p w14:paraId="3CCA118C" w14:textId="77777777" w:rsidR="00A3792E" w:rsidRPr="007E21C0" w:rsidRDefault="00A3792E" w:rsidP="00A3792E">
            <w:pPr>
              <w:pStyle w:val="NormalWeb"/>
              <w:spacing w:before="0" w:beforeAutospacing="0" w:after="0" w:afterAutospacing="0"/>
              <w:textAlignment w:val="baseline"/>
              <w:rPr>
                <w:rFonts w:ascii="Arial" w:hAnsi="Arial" w:cs="Arial"/>
                <w:sz w:val="22"/>
                <w:szCs w:val="22"/>
                <w:lang w:val="it-IT"/>
              </w:rPr>
            </w:pPr>
            <w:r w:rsidRPr="007E21C0">
              <w:rPr>
                <w:rFonts w:ascii="Arial" w:hAnsi="Arial" w:cs="Arial"/>
                <w:sz w:val="22"/>
                <w:szCs w:val="22"/>
                <w:bdr w:val="none" w:sz="0" w:space="0" w:color="auto" w:frame="1"/>
                <w:lang w:val="it-IT"/>
              </w:rPr>
              <w:t>Peter RICHMOND </w:t>
            </w:r>
          </w:p>
          <w:p w14:paraId="2F0FED3F" w14:textId="77777777" w:rsidR="00A3792E" w:rsidRPr="007E21C0" w:rsidRDefault="00A3792E" w:rsidP="00A3792E">
            <w:pPr>
              <w:pStyle w:val="NormalWeb"/>
              <w:spacing w:before="0" w:beforeAutospacing="0" w:after="0" w:afterAutospacing="0"/>
              <w:textAlignment w:val="baseline"/>
              <w:rPr>
                <w:rFonts w:ascii="Arial" w:hAnsi="Arial" w:cs="Arial"/>
                <w:sz w:val="22"/>
                <w:szCs w:val="22"/>
                <w:lang w:val="it-IT"/>
              </w:rPr>
            </w:pPr>
            <w:r w:rsidRPr="007E21C0">
              <w:rPr>
                <w:rFonts w:ascii="Arial" w:hAnsi="Arial" w:cs="Arial"/>
                <w:sz w:val="22"/>
                <w:szCs w:val="22"/>
                <w:bdr w:val="none" w:sz="0" w:space="0" w:color="auto" w:frame="1"/>
                <w:lang w:val="it-IT"/>
              </w:rPr>
              <w:t>Aarti SAIGANESH </w:t>
            </w:r>
          </w:p>
          <w:p w14:paraId="110D4502" w14:textId="77777777" w:rsidR="00A3792E" w:rsidRDefault="00A3792E" w:rsidP="00A3792E">
            <w:pPr>
              <w:pStyle w:val="NormalWeb"/>
              <w:spacing w:before="0" w:beforeAutospacing="0" w:after="0" w:afterAutospacing="0"/>
              <w:textAlignment w:val="baseline"/>
              <w:rPr>
                <w:rFonts w:ascii="Arial" w:hAnsi="Arial" w:cs="Arial"/>
                <w:sz w:val="22"/>
                <w:szCs w:val="22"/>
                <w:bdr w:val="none" w:sz="0" w:space="0" w:color="auto" w:frame="1"/>
              </w:rPr>
            </w:pPr>
            <w:r w:rsidRPr="00471E32">
              <w:rPr>
                <w:rFonts w:ascii="Arial" w:hAnsi="Arial" w:cs="Arial"/>
                <w:sz w:val="22"/>
                <w:szCs w:val="22"/>
                <w:bdr w:val="none" w:sz="0" w:space="0" w:color="auto" w:frame="1"/>
              </w:rPr>
              <w:t>Slade SIBOSADO </w:t>
            </w:r>
          </w:p>
          <w:p w14:paraId="73B55295" w14:textId="1609A244" w:rsidR="001564A4" w:rsidRPr="00A3792E" w:rsidRDefault="00A3792E" w:rsidP="00A3792E">
            <w:pPr>
              <w:pStyle w:val="NormalWeb"/>
              <w:spacing w:before="0" w:beforeAutospacing="0" w:after="0" w:afterAutospacing="0"/>
              <w:textAlignment w:val="baseline"/>
              <w:rPr>
                <w:rFonts w:ascii="Arial" w:hAnsi="Arial" w:cs="Arial"/>
                <w:sz w:val="22"/>
                <w:szCs w:val="22"/>
              </w:rPr>
            </w:pPr>
            <w:r w:rsidRPr="00471E32">
              <w:rPr>
                <w:rFonts w:ascii="Arial" w:hAnsi="Arial" w:cs="Arial"/>
                <w:sz w:val="22"/>
                <w:szCs w:val="22"/>
                <w:bdr w:val="none" w:sz="0" w:space="0" w:color="auto" w:frame="1"/>
              </w:rPr>
              <w:t xml:space="preserve">Joan </w:t>
            </w:r>
            <w:r>
              <w:rPr>
                <w:rFonts w:ascii="Arial" w:hAnsi="Arial" w:cs="Arial"/>
                <w:sz w:val="22"/>
                <w:szCs w:val="22"/>
                <w:bdr w:val="none" w:sz="0" w:space="0" w:color="auto" w:frame="1"/>
              </w:rPr>
              <w:t>WILSON</w:t>
            </w:r>
            <w:r w:rsidRPr="00471E32">
              <w:rPr>
                <w:rFonts w:ascii="Arial" w:hAnsi="Arial" w:cs="Arial"/>
                <w:sz w:val="22"/>
                <w:szCs w:val="22"/>
                <w:bdr w:val="none" w:sz="0" w:space="0" w:color="auto" w:frame="1"/>
              </w:rPr>
              <w:t> </w:t>
            </w:r>
          </w:p>
        </w:tc>
      </w:tr>
      <w:tr w:rsidR="001564A4" w:rsidRPr="0050053A" w14:paraId="385A19D9" w14:textId="77777777" w:rsidTr="000A28E2">
        <w:trPr>
          <w:trHeight w:val="136"/>
          <w:jc w:val="center"/>
        </w:trPr>
        <w:tc>
          <w:tcPr>
            <w:tcW w:w="8640" w:type="dxa"/>
            <w:shd w:val="clear" w:color="auto" w:fill="auto"/>
          </w:tcPr>
          <w:p w14:paraId="68226D43" w14:textId="77777777" w:rsidR="00A3792E" w:rsidRDefault="00A3792E" w:rsidP="00A3792E">
            <w:pPr>
              <w:spacing w:before="120" w:after="120"/>
              <w:rPr>
                <w:rFonts w:ascii="Arial" w:hAnsi="Arial" w:cs="Arial"/>
                <w:i/>
                <w:sz w:val="22"/>
                <w:szCs w:val="22"/>
                <w:lang w:val="en-US" w:eastAsia="en-GB"/>
              </w:rPr>
            </w:pPr>
            <w:r>
              <w:rPr>
                <w:rFonts w:ascii="Arial" w:hAnsi="Arial" w:cs="Arial"/>
                <w:i/>
                <w:sz w:val="22"/>
                <w:szCs w:val="22"/>
                <w:vertAlign w:val="superscript"/>
                <w:lang w:val="en-US" w:eastAsia="en-GB"/>
              </w:rPr>
              <w:t>1</w:t>
            </w:r>
            <w:r>
              <w:t xml:space="preserve"> </w:t>
            </w:r>
            <w:r w:rsidRPr="006424DE">
              <w:rPr>
                <w:rFonts w:ascii="Arial" w:hAnsi="Arial" w:cs="Arial"/>
                <w:i/>
                <w:sz w:val="22"/>
                <w:szCs w:val="22"/>
                <w:lang w:val="en-US" w:eastAsia="en-GB"/>
              </w:rPr>
              <w:t>Wal-</w:t>
            </w:r>
            <w:proofErr w:type="spellStart"/>
            <w:r w:rsidRPr="006424DE">
              <w:rPr>
                <w:rFonts w:ascii="Arial" w:hAnsi="Arial" w:cs="Arial"/>
                <w:i/>
                <w:sz w:val="22"/>
                <w:szCs w:val="22"/>
                <w:lang w:val="en-US" w:eastAsia="en-GB"/>
              </w:rPr>
              <w:t>yan</w:t>
            </w:r>
            <w:proofErr w:type="spellEnd"/>
            <w:r w:rsidRPr="006424DE">
              <w:rPr>
                <w:rFonts w:ascii="Arial" w:hAnsi="Arial" w:cs="Arial"/>
                <w:i/>
                <w:sz w:val="22"/>
                <w:szCs w:val="22"/>
                <w:lang w:val="en-US" w:eastAsia="en-GB"/>
              </w:rPr>
              <w:t xml:space="preserve"> Respiratory Research Centre, </w:t>
            </w:r>
            <w:r>
              <w:rPr>
                <w:rFonts w:ascii="Arial" w:hAnsi="Arial" w:cs="Arial"/>
                <w:i/>
                <w:sz w:val="22"/>
                <w:szCs w:val="22"/>
                <w:lang w:val="en-US" w:eastAsia="en-GB"/>
              </w:rPr>
              <w:t>WA, Australia</w:t>
            </w:r>
          </w:p>
          <w:p w14:paraId="0BC682BA" w14:textId="77777777" w:rsidR="00A3792E" w:rsidRDefault="00A3792E" w:rsidP="00A3792E">
            <w:pPr>
              <w:spacing w:before="120" w:after="120"/>
              <w:rPr>
                <w:rFonts w:ascii="Arial" w:hAnsi="Arial" w:cs="Arial"/>
                <w:i/>
                <w:sz w:val="22"/>
                <w:szCs w:val="22"/>
                <w:lang w:val="en-US" w:eastAsia="en-GB"/>
              </w:rPr>
            </w:pPr>
            <w:r>
              <w:rPr>
                <w:rFonts w:ascii="Arial" w:hAnsi="Arial" w:cs="Arial"/>
                <w:i/>
                <w:sz w:val="22"/>
                <w:szCs w:val="22"/>
                <w:vertAlign w:val="superscript"/>
                <w:lang w:val="en-US" w:eastAsia="en-GB"/>
              </w:rPr>
              <w:t>2</w:t>
            </w:r>
            <w:r>
              <w:rPr>
                <w:rFonts w:ascii="Arial" w:hAnsi="Arial" w:cs="Arial"/>
                <w:i/>
                <w:sz w:val="22"/>
                <w:szCs w:val="22"/>
                <w:lang w:val="en-US" w:eastAsia="en-GB"/>
              </w:rPr>
              <w:t xml:space="preserve"> College of Medicine and Public Health, Flinders University, SA, Australia</w:t>
            </w:r>
          </w:p>
          <w:p w14:paraId="5991D5D0" w14:textId="77777777" w:rsidR="00A3792E" w:rsidRDefault="00A3792E" w:rsidP="00A3792E">
            <w:pPr>
              <w:spacing w:before="120" w:after="120"/>
              <w:rPr>
                <w:rFonts w:ascii="Arial" w:hAnsi="Arial" w:cs="Arial"/>
                <w:i/>
                <w:sz w:val="22"/>
                <w:szCs w:val="22"/>
                <w:lang w:val="en-US" w:eastAsia="en-GB"/>
              </w:rPr>
            </w:pPr>
            <w:r>
              <w:rPr>
                <w:rFonts w:ascii="Arial" w:hAnsi="Arial" w:cs="Arial"/>
                <w:i/>
                <w:sz w:val="22"/>
                <w:szCs w:val="22"/>
                <w:vertAlign w:val="superscript"/>
                <w:lang w:val="en-US" w:eastAsia="en-GB"/>
              </w:rPr>
              <w:t>3</w:t>
            </w:r>
            <w:r>
              <w:rPr>
                <w:rFonts w:ascii="Arial" w:hAnsi="Arial" w:cs="Arial"/>
                <w:i/>
                <w:sz w:val="22"/>
                <w:szCs w:val="22"/>
                <w:lang w:val="en-US" w:eastAsia="en-GB"/>
              </w:rPr>
              <w:t xml:space="preserve"> Child Health Evaluative Sciences, The Hospital for Sick Children, Toronto, Ontario, Canada</w:t>
            </w:r>
          </w:p>
          <w:p w14:paraId="4AC467E6" w14:textId="77777777" w:rsidR="00A3792E" w:rsidRDefault="00A3792E" w:rsidP="00A3792E">
            <w:pPr>
              <w:spacing w:before="120" w:after="120"/>
              <w:rPr>
                <w:rFonts w:ascii="Arial" w:hAnsi="Arial" w:cs="Arial"/>
                <w:i/>
                <w:sz w:val="22"/>
                <w:szCs w:val="22"/>
                <w:lang w:val="en-US" w:eastAsia="en-GB"/>
              </w:rPr>
            </w:pPr>
            <w:r>
              <w:rPr>
                <w:rFonts w:ascii="Arial" w:hAnsi="Arial" w:cs="Arial"/>
                <w:i/>
                <w:sz w:val="22"/>
                <w:szCs w:val="22"/>
                <w:vertAlign w:val="superscript"/>
                <w:lang w:val="en-US" w:eastAsia="en-GB"/>
              </w:rPr>
              <w:t>4</w:t>
            </w:r>
            <w:r>
              <w:rPr>
                <w:rFonts w:ascii="Arial" w:hAnsi="Arial" w:cs="Arial"/>
                <w:i/>
                <w:sz w:val="22"/>
                <w:szCs w:val="22"/>
                <w:lang w:val="en-US" w:eastAsia="en-GB"/>
              </w:rPr>
              <w:t xml:space="preserve"> Menzies School of Research, NT, Australia</w:t>
            </w:r>
          </w:p>
          <w:p w14:paraId="6BD2CC80" w14:textId="77777777" w:rsidR="00A3792E" w:rsidRDefault="00A3792E" w:rsidP="00A3792E">
            <w:pPr>
              <w:spacing w:before="120" w:after="120"/>
              <w:rPr>
                <w:rFonts w:ascii="Arial" w:hAnsi="Arial" w:cs="Arial"/>
                <w:i/>
                <w:sz w:val="22"/>
                <w:szCs w:val="22"/>
                <w:lang w:val="en-US" w:eastAsia="en-GB"/>
              </w:rPr>
            </w:pPr>
            <w:r>
              <w:rPr>
                <w:rFonts w:ascii="Arial" w:hAnsi="Arial" w:cs="Arial"/>
                <w:i/>
                <w:sz w:val="22"/>
                <w:szCs w:val="22"/>
                <w:vertAlign w:val="superscript"/>
                <w:lang w:val="en-US" w:eastAsia="en-GB"/>
              </w:rPr>
              <w:t>5</w:t>
            </w:r>
            <w:r>
              <w:rPr>
                <w:rFonts w:ascii="Arial" w:hAnsi="Arial" w:cs="Arial"/>
                <w:i/>
                <w:sz w:val="22"/>
                <w:szCs w:val="22"/>
                <w:lang w:val="en-US" w:eastAsia="en-GB"/>
              </w:rPr>
              <w:t xml:space="preserve"> School of Population Health, Curtin University, WA, Australia</w:t>
            </w:r>
          </w:p>
          <w:p w14:paraId="10FC4490" w14:textId="77777777" w:rsidR="00A3792E" w:rsidRDefault="00A3792E" w:rsidP="00A3792E">
            <w:pPr>
              <w:spacing w:before="120" w:after="120"/>
              <w:rPr>
                <w:rFonts w:ascii="Arial" w:hAnsi="Arial" w:cs="Arial"/>
                <w:i/>
                <w:sz w:val="22"/>
                <w:szCs w:val="22"/>
                <w:lang w:val="en-US" w:eastAsia="en-GB"/>
              </w:rPr>
            </w:pPr>
            <w:r>
              <w:rPr>
                <w:rFonts w:ascii="Arial" w:hAnsi="Arial" w:cs="Arial"/>
                <w:i/>
                <w:sz w:val="22"/>
                <w:szCs w:val="22"/>
                <w:vertAlign w:val="superscript"/>
                <w:lang w:val="en-US" w:eastAsia="en-GB"/>
              </w:rPr>
              <w:t>6</w:t>
            </w:r>
            <w:r>
              <w:rPr>
                <w:rFonts w:ascii="Arial" w:hAnsi="Arial" w:cs="Arial"/>
                <w:i/>
                <w:sz w:val="22"/>
                <w:szCs w:val="22"/>
                <w:lang w:val="en-US" w:eastAsia="en-GB"/>
              </w:rPr>
              <w:t xml:space="preserve"> School of Public Health, University of Sydney, NSW, Australia</w:t>
            </w:r>
          </w:p>
          <w:p w14:paraId="38DEF7BE" w14:textId="77777777" w:rsidR="00A3792E" w:rsidRDefault="00A3792E" w:rsidP="00A3792E">
            <w:pPr>
              <w:spacing w:before="120" w:after="120"/>
              <w:rPr>
                <w:rFonts w:ascii="Arial" w:hAnsi="Arial" w:cs="Arial"/>
                <w:i/>
                <w:sz w:val="22"/>
                <w:szCs w:val="22"/>
                <w:lang w:val="en-US" w:eastAsia="en-GB"/>
              </w:rPr>
            </w:pPr>
            <w:r>
              <w:rPr>
                <w:rFonts w:ascii="Arial" w:hAnsi="Arial" w:cs="Arial"/>
                <w:i/>
                <w:sz w:val="22"/>
                <w:szCs w:val="22"/>
                <w:vertAlign w:val="superscript"/>
                <w:lang w:val="en-US" w:eastAsia="en-GB"/>
              </w:rPr>
              <w:t>7</w:t>
            </w:r>
            <w:r>
              <w:rPr>
                <w:rFonts w:ascii="Arial" w:hAnsi="Arial" w:cs="Arial"/>
                <w:i/>
                <w:sz w:val="22"/>
                <w:szCs w:val="22"/>
                <w:lang w:val="en-US" w:eastAsia="en-GB"/>
              </w:rPr>
              <w:t xml:space="preserve"> School of Population and Global Health, University of Western Australia, WA, Australia</w:t>
            </w:r>
          </w:p>
          <w:p w14:paraId="5CD30D09" w14:textId="77777777" w:rsidR="00A3792E" w:rsidRPr="00836FB5" w:rsidRDefault="00A3792E" w:rsidP="00A3792E">
            <w:pPr>
              <w:spacing w:before="120" w:after="120"/>
              <w:rPr>
                <w:rFonts w:ascii="Arial" w:hAnsi="Arial" w:cs="Arial"/>
                <w:i/>
                <w:sz w:val="22"/>
                <w:szCs w:val="22"/>
                <w:lang w:val="en-US" w:eastAsia="en-GB"/>
              </w:rPr>
            </w:pPr>
            <w:r>
              <w:rPr>
                <w:rFonts w:ascii="Arial" w:hAnsi="Arial" w:cs="Arial"/>
                <w:i/>
                <w:sz w:val="22"/>
                <w:szCs w:val="22"/>
                <w:vertAlign w:val="superscript"/>
                <w:lang w:val="en-US" w:eastAsia="en-GB"/>
              </w:rPr>
              <w:t>8</w:t>
            </w:r>
            <w:r>
              <w:rPr>
                <w:rFonts w:ascii="Arial" w:hAnsi="Arial" w:cs="Arial"/>
                <w:i/>
                <w:sz w:val="22"/>
                <w:szCs w:val="22"/>
                <w:lang w:val="en-US" w:eastAsia="en-GB"/>
              </w:rPr>
              <w:t xml:space="preserve"> Australian Centre for Health Services Innovation, Queensland University of Technology, QLD, Australia</w:t>
            </w:r>
          </w:p>
          <w:p w14:paraId="45ED36BF" w14:textId="7BA79C41" w:rsidR="001564A4" w:rsidRPr="0050053A" w:rsidRDefault="001564A4" w:rsidP="000A28E2">
            <w:pPr>
              <w:spacing w:before="120" w:after="120"/>
              <w:rPr>
                <w:rFonts w:ascii="Arial" w:hAnsi="Arial" w:cs="Arial"/>
                <w:i/>
                <w:sz w:val="22"/>
                <w:szCs w:val="22"/>
                <w:lang w:val="en-US" w:eastAsia="en-GB"/>
              </w:rPr>
            </w:pPr>
          </w:p>
        </w:tc>
      </w:tr>
      <w:tr w:rsidR="001564A4" w:rsidRPr="0050053A" w14:paraId="6DAF615A" w14:textId="77777777" w:rsidTr="004744D5">
        <w:trPr>
          <w:trHeight w:hRule="exact" w:val="11980"/>
          <w:jc w:val="center"/>
        </w:trPr>
        <w:tc>
          <w:tcPr>
            <w:tcW w:w="8640" w:type="dxa"/>
            <w:shd w:val="clear" w:color="auto" w:fill="auto"/>
          </w:tcPr>
          <w:p w14:paraId="739E7937" w14:textId="77777777" w:rsidR="001564A4" w:rsidRPr="004744D5" w:rsidRDefault="001564A4" w:rsidP="000A28E2">
            <w:pPr>
              <w:pStyle w:val="Pa12"/>
              <w:rPr>
                <w:rStyle w:val="A4"/>
              </w:rPr>
            </w:pPr>
            <w:r w:rsidRPr="004744D5">
              <w:rPr>
                <w:rStyle w:val="A4"/>
                <w:b/>
                <w:bCs/>
              </w:rPr>
              <w:lastRenderedPageBreak/>
              <w:t xml:space="preserve">Introduction/Aim: </w:t>
            </w:r>
          </w:p>
          <w:p w14:paraId="2251F6D5" w14:textId="489164F8" w:rsidR="001564A4" w:rsidRPr="004744D5" w:rsidRDefault="001564A4" w:rsidP="000A28E2">
            <w:pPr>
              <w:pStyle w:val="Pa12"/>
              <w:rPr>
                <w:sz w:val="22"/>
                <w:szCs w:val="22"/>
              </w:rPr>
            </w:pPr>
            <w:r w:rsidRPr="004744D5">
              <w:rPr>
                <w:sz w:val="22"/>
                <w:szCs w:val="22"/>
              </w:rPr>
              <w:br/>
            </w:r>
            <w:r w:rsidR="00A3792E" w:rsidRPr="004744D5">
              <w:rPr>
                <w:sz w:val="22"/>
                <w:szCs w:val="22"/>
              </w:rPr>
              <w:t xml:space="preserve">Chronic wet cough (CWC) is highly prevalent amongst Indigenous children. It is usually caused by protracted bacterial bronchitis which can lead to bronchiectasis if left untreated. Primary care is crucial in </w:t>
            </w:r>
            <w:r w:rsidR="004744D5">
              <w:rPr>
                <w:sz w:val="22"/>
                <w:szCs w:val="22"/>
              </w:rPr>
              <w:t xml:space="preserve">the </w:t>
            </w:r>
            <w:r w:rsidR="00A3792E" w:rsidRPr="004744D5">
              <w:rPr>
                <w:sz w:val="22"/>
                <w:szCs w:val="22"/>
              </w:rPr>
              <w:t xml:space="preserve">timely detection and management of CWC. In 2018, we implemented a successful program in a Kimberley regional town, Western Australia, which improved CWC detection and management through health promotion, clinician training, and practice changes. However, given </w:t>
            </w:r>
            <w:r w:rsidR="004744D5">
              <w:rPr>
                <w:sz w:val="22"/>
                <w:szCs w:val="22"/>
              </w:rPr>
              <w:t xml:space="preserve">the </w:t>
            </w:r>
            <w:r w:rsidR="00A3792E" w:rsidRPr="004744D5">
              <w:rPr>
                <w:sz w:val="22"/>
                <w:szCs w:val="22"/>
              </w:rPr>
              <w:t>diverse cultural and geographical characteristics of Indigenous communities, what proved effective in one community may not apply elsewhere. We studied the barriers and facilitators to implementation of our program in multiple Indigenous communities.</w:t>
            </w:r>
          </w:p>
          <w:p w14:paraId="3D770CF7" w14:textId="77777777" w:rsidR="001564A4" w:rsidRPr="004744D5" w:rsidRDefault="001564A4" w:rsidP="000A28E2">
            <w:pPr>
              <w:pStyle w:val="Pa12"/>
              <w:rPr>
                <w:rStyle w:val="A4"/>
                <w:bCs/>
              </w:rPr>
            </w:pPr>
          </w:p>
          <w:p w14:paraId="1B39336E" w14:textId="77777777" w:rsidR="001564A4" w:rsidRPr="004744D5" w:rsidRDefault="001564A4" w:rsidP="000A28E2">
            <w:pPr>
              <w:pStyle w:val="Pa12"/>
              <w:rPr>
                <w:rStyle w:val="A4"/>
                <w:b/>
                <w:bCs/>
              </w:rPr>
            </w:pPr>
            <w:r w:rsidRPr="004744D5">
              <w:rPr>
                <w:rStyle w:val="A4"/>
                <w:b/>
                <w:bCs/>
              </w:rPr>
              <w:t xml:space="preserve">Methods: </w:t>
            </w:r>
          </w:p>
          <w:p w14:paraId="70A39F78" w14:textId="5DE9B835" w:rsidR="001564A4" w:rsidRPr="004744D5" w:rsidRDefault="001564A4" w:rsidP="000A28E2">
            <w:pPr>
              <w:pStyle w:val="Pa12"/>
              <w:rPr>
                <w:sz w:val="22"/>
                <w:szCs w:val="22"/>
              </w:rPr>
            </w:pPr>
            <w:r w:rsidRPr="004744D5">
              <w:rPr>
                <w:sz w:val="22"/>
                <w:szCs w:val="22"/>
              </w:rPr>
              <w:br/>
            </w:r>
            <w:r w:rsidR="00A3792E" w:rsidRPr="004744D5">
              <w:rPr>
                <w:sz w:val="22"/>
                <w:szCs w:val="22"/>
              </w:rPr>
              <w:t>A qualitative, Indigenous co-led, participatory action research study with semi-structured interviews at seven sites across Australia. The Consolidated Framework for Implementation Research was used to identify stakeholders and develop interview frameworks. Data were analysed using NVivo software.</w:t>
            </w:r>
          </w:p>
          <w:p w14:paraId="5029BAE6" w14:textId="77777777" w:rsidR="001564A4" w:rsidRPr="004744D5" w:rsidRDefault="001564A4" w:rsidP="000A28E2">
            <w:pPr>
              <w:pStyle w:val="Pa12"/>
              <w:rPr>
                <w:rStyle w:val="A4"/>
                <w:bCs/>
              </w:rPr>
            </w:pPr>
          </w:p>
          <w:p w14:paraId="6BF3F094" w14:textId="77777777" w:rsidR="001564A4" w:rsidRPr="004744D5" w:rsidRDefault="001564A4" w:rsidP="000A28E2">
            <w:pPr>
              <w:pStyle w:val="Pa12"/>
              <w:rPr>
                <w:rStyle w:val="A4"/>
                <w:b/>
                <w:bCs/>
              </w:rPr>
            </w:pPr>
            <w:r w:rsidRPr="004744D5">
              <w:rPr>
                <w:rStyle w:val="A4"/>
                <w:b/>
                <w:bCs/>
              </w:rPr>
              <w:t xml:space="preserve">Results: </w:t>
            </w:r>
          </w:p>
          <w:p w14:paraId="2C028160" w14:textId="77777777" w:rsidR="00A3792E" w:rsidRPr="004744D5" w:rsidRDefault="001564A4" w:rsidP="00A3792E">
            <w:pPr>
              <w:pStyle w:val="Pa12"/>
              <w:rPr>
                <w:sz w:val="22"/>
                <w:szCs w:val="22"/>
              </w:rPr>
            </w:pPr>
            <w:r w:rsidRPr="004744D5">
              <w:rPr>
                <w:sz w:val="22"/>
                <w:szCs w:val="22"/>
              </w:rPr>
              <w:br/>
            </w:r>
            <w:r w:rsidR="00A3792E" w:rsidRPr="004744D5">
              <w:rPr>
                <w:sz w:val="22"/>
                <w:szCs w:val="22"/>
              </w:rPr>
              <w:t xml:space="preserve">169 Indigenous family members and 95 health care practitioners (HCPs) participated. </w:t>
            </w:r>
          </w:p>
          <w:p w14:paraId="7729FA51" w14:textId="77777777" w:rsidR="00A3792E" w:rsidRPr="004744D5" w:rsidRDefault="00A3792E" w:rsidP="00A3792E">
            <w:pPr>
              <w:pStyle w:val="Default"/>
              <w:rPr>
                <w:sz w:val="22"/>
                <w:szCs w:val="22"/>
              </w:rPr>
            </w:pPr>
          </w:p>
          <w:p w14:paraId="2074E958" w14:textId="77777777" w:rsidR="00A3792E" w:rsidRPr="004744D5" w:rsidRDefault="00A3792E" w:rsidP="00A3792E">
            <w:pPr>
              <w:pStyle w:val="Default"/>
              <w:rPr>
                <w:color w:val="auto"/>
                <w:sz w:val="22"/>
                <w:szCs w:val="22"/>
              </w:rPr>
            </w:pPr>
            <w:r w:rsidRPr="004744D5">
              <w:rPr>
                <w:color w:val="auto"/>
                <w:sz w:val="22"/>
                <w:szCs w:val="22"/>
              </w:rPr>
              <w:t xml:space="preserve">Families wanted culturally secure health information shared by Indigenous health staff and delivered using methods tailored to each community’s size and needs (home visits in smaller communities, organised events in larger ones). Other facilitators included customised visual materials aligned with local culture, social </w:t>
            </w:r>
            <w:proofErr w:type="gramStart"/>
            <w:r w:rsidRPr="004744D5">
              <w:rPr>
                <w:color w:val="auto"/>
                <w:sz w:val="22"/>
                <w:szCs w:val="22"/>
              </w:rPr>
              <w:t>media</w:t>
            </w:r>
            <w:proofErr w:type="gramEnd"/>
            <w:r w:rsidRPr="004744D5">
              <w:rPr>
                <w:color w:val="auto"/>
                <w:sz w:val="22"/>
                <w:szCs w:val="22"/>
              </w:rPr>
              <w:t xml:space="preserve"> and technology (where possible) and adapted communication methods (spoken or visual) and languages (English or local language). </w:t>
            </w:r>
          </w:p>
          <w:p w14:paraId="40288872" w14:textId="77777777" w:rsidR="00A3792E" w:rsidRPr="004744D5" w:rsidRDefault="00A3792E" w:rsidP="00A3792E">
            <w:pPr>
              <w:pStyle w:val="Default"/>
              <w:rPr>
                <w:color w:val="auto"/>
                <w:sz w:val="22"/>
                <w:szCs w:val="22"/>
              </w:rPr>
            </w:pPr>
          </w:p>
          <w:p w14:paraId="6E074F15" w14:textId="77777777" w:rsidR="00A3792E" w:rsidRPr="004744D5" w:rsidRDefault="00A3792E" w:rsidP="00A3792E">
            <w:pPr>
              <w:pStyle w:val="Default"/>
              <w:rPr>
                <w:color w:val="auto"/>
                <w:sz w:val="22"/>
                <w:szCs w:val="22"/>
              </w:rPr>
            </w:pPr>
            <w:r w:rsidRPr="004744D5">
              <w:rPr>
                <w:color w:val="auto"/>
                <w:sz w:val="22"/>
                <w:szCs w:val="22"/>
              </w:rPr>
              <w:t>HCPs wanted repeated clinician training sessions (aligned with best practice) and diverse educational resources. HCPs faced challenges such as heavy workloads and staff turnover, and intermittent doctor presence in some settings. Clinic practice barriers could be addressed through system modifications such as adding CWC into routine screening, electronic record prompts, and initiatives to empower non-medical HCPs to prescribe and administer medications.</w:t>
            </w:r>
          </w:p>
          <w:p w14:paraId="68537800" w14:textId="77777777" w:rsidR="001564A4" w:rsidRPr="004744D5" w:rsidRDefault="001564A4" w:rsidP="000A28E2">
            <w:pPr>
              <w:pStyle w:val="Pa12"/>
              <w:rPr>
                <w:rStyle w:val="A4"/>
                <w:bCs/>
              </w:rPr>
            </w:pPr>
          </w:p>
          <w:p w14:paraId="652F7BE1" w14:textId="77777777" w:rsidR="001564A4" w:rsidRPr="004744D5" w:rsidRDefault="001564A4" w:rsidP="000A28E2">
            <w:pPr>
              <w:pStyle w:val="Pa12"/>
              <w:rPr>
                <w:rStyle w:val="A4"/>
                <w:b/>
                <w:bCs/>
              </w:rPr>
            </w:pPr>
            <w:r w:rsidRPr="004744D5">
              <w:rPr>
                <w:rStyle w:val="A4"/>
                <w:b/>
                <w:bCs/>
              </w:rPr>
              <w:t xml:space="preserve">Conclusion: </w:t>
            </w:r>
          </w:p>
          <w:p w14:paraId="196E7BAC" w14:textId="62CFAF67" w:rsidR="001564A4" w:rsidRPr="004744D5" w:rsidRDefault="00A3792E" w:rsidP="000A28E2">
            <w:pPr>
              <w:pStyle w:val="Pa12"/>
              <w:rPr>
                <w:rStyle w:val="A4"/>
              </w:rPr>
            </w:pPr>
            <w:r w:rsidRPr="004744D5">
              <w:rPr>
                <w:rStyle w:val="A4"/>
              </w:rPr>
              <w:t xml:space="preserve">Strategies for timely detection and management of CWC are broadly consistent across </w:t>
            </w:r>
            <w:r w:rsidRPr="004744D5">
              <w:rPr>
                <w:sz w:val="22"/>
                <w:szCs w:val="22"/>
              </w:rPr>
              <w:t>cultural and geographical contexts</w:t>
            </w:r>
            <w:r w:rsidRPr="004744D5">
              <w:rPr>
                <w:rStyle w:val="A4"/>
              </w:rPr>
              <w:t>, although each site had unique characteristics that required tailored strategies.</w:t>
            </w:r>
            <w:r w:rsidR="001564A4" w:rsidRPr="004744D5">
              <w:rPr>
                <w:rStyle w:val="A4"/>
                <w:bCs/>
              </w:rPr>
              <w:br/>
            </w:r>
          </w:p>
          <w:p w14:paraId="3E8B4283" w14:textId="77777777" w:rsidR="001564A4" w:rsidRPr="004744D5" w:rsidRDefault="001564A4" w:rsidP="000A28E2">
            <w:pPr>
              <w:pStyle w:val="Pa12"/>
              <w:rPr>
                <w:rStyle w:val="A4"/>
                <w:b/>
                <w:bCs/>
              </w:rPr>
            </w:pPr>
            <w:r w:rsidRPr="004744D5">
              <w:rPr>
                <w:rStyle w:val="A4"/>
                <w:b/>
                <w:bCs/>
              </w:rPr>
              <w:t xml:space="preserve">Grant Support: </w:t>
            </w:r>
          </w:p>
          <w:p w14:paraId="7F8381F0" w14:textId="02DBBC16" w:rsidR="001564A4" w:rsidRDefault="00A3792E" w:rsidP="000A28E2">
            <w:pPr>
              <w:pStyle w:val="Pa12"/>
              <w:rPr>
                <w:sz w:val="22"/>
                <w:szCs w:val="22"/>
              </w:rPr>
            </w:pPr>
            <w:r w:rsidRPr="004744D5">
              <w:rPr>
                <w:rStyle w:val="A4"/>
              </w:rPr>
              <w:t>MRFF investigator grant (APP1193796: Preventing Bronchiectasis in Indigenous People) and NHMRC partnership grant (APP1170735: Partnerships to prevent permanent disease in children with chronic wet cough)</w:t>
            </w:r>
            <w:r w:rsidRPr="004744D5">
              <w:rPr>
                <w:sz w:val="22"/>
                <w:szCs w:val="22"/>
                <w:lang w:val="en-US" w:eastAsia="en-GB"/>
              </w:rPr>
              <w:t>.</w:t>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r w:rsidR="001564A4">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p w14:paraId="3AC8A980" w14:textId="49A9160E" w:rsidR="00A3792E" w:rsidRDefault="004744D5" w:rsidP="001564A4">
      <w:pPr>
        <w:rPr>
          <w:rFonts w:ascii="Arial" w:hAnsi="Arial" w:cs="Arial"/>
          <w:sz w:val="22"/>
          <w:szCs w:val="22"/>
        </w:rPr>
      </w:pPr>
      <w:r w:rsidRPr="004744D5">
        <w:rPr>
          <w:rFonts w:ascii="Arial" w:hAnsi="Arial" w:cs="Arial"/>
          <w:sz w:val="22"/>
          <w:szCs w:val="22"/>
        </w:rPr>
        <w:t xml:space="preserve">Key </w:t>
      </w:r>
      <w:r>
        <w:rPr>
          <w:rFonts w:ascii="Arial" w:hAnsi="Arial" w:cs="Arial"/>
          <w:sz w:val="22"/>
          <w:szCs w:val="22"/>
        </w:rPr>
        <w:t>W</w:t>
      </w:r>
      <w:r w:rsidRPr="004744D5">
        <w:rPr>
          <w:rFonts w:ascii="Arial" w:hAnsi="Arial" w:cs="Arial"/>
          <w:sz w:val="22"/>
          <w:szCs w:val="22"/>
        </w:rPr>
        <w:t xml:space="preserve">ords: </w:t>
      </w:r>
      <w:r>
        <w:rPr>
          <w:rFonts w:ascii="Arial" w:hAnsi="Arial" w:cs="Arial"/>
          <w:sz w:val="22"/>
          <w:szCs w:val="22"/>
        </w:rPr>
        <w:t xml:space="preserve">qualitative, </w:t>
      </w:r>
      <w:proofErr w:type="gramStart"/>
      <w:r>
        <w:rPr>
          <w:rFonts w:ascii="Arial" w:hAnsi="Arial" w:cs="Arial"/>
          <w:sz w:val="22"/>
          <w:szCs w:val="22"/>
        </w:rPr>
        <w:t>culturally-informed</w:t>
      </w:r>
      <w:proofErr w:type="gramEnd"/>
      <w:r>
        <w:rPr>
          <w:rFonts w:ascii="Arial" w:hAnsi="Arial" w:cs="Arial"/>
          <w:sz w:val="22"/>
          <w:szCs w:val="22"/>
        </w:rPr>
        <w:t>, chronic wet cough</w:t>
      </w:r>
    </w:p>
    <w:p w14:paraId="11A346B4" w14:textId="404E26FD" w:rsidR="004744D5" w:rsidRPr="004744D5" w:rsidRDefault="004744D5" w:rsidP="001564A4">
      <w:pPr>
        <w:rPr>
          <w:rFonts w:ascii="Arial" w:hAnsi="Arial" w:cs="Arial"/>
          <w:sz w:val="22"/>
          <w:szCs w:val="22"/>
        </w:rPr>
      </w:pPr>
      <w:r>
        <w:rPr>
          <w:rFonts w:ascii="Arial" w:hAnsi="Arial" w:cs="Arial"/>
          <w:sz w:val="22"/>
          <w:szCs w:val="22"/>
        </w:rPr>
        <w:t>Word Count: 298</w:t>
      </w:r>
    </w:p>
    <w:sectPr w:rsidR="004744D5" w:rsidRPr="004744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4744D5"/>
    <w:rsid w:val="0051574E"/>
    <w:rsid w:val="008803FA"/>
    <w:rsid w:val="00A3792E"/>
    <w:rsid w:val="00B12E32"/>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NormalWeb">
    <w:name w:val="Normal (Web)"/>
    <w:basedOn w:val="Normal"/>
    <w:uiPriority w:val="99"/>
    <w:unhideWhenUsed/>
    <w:rsid w:val="00A3792E"/>
    <w:pPr>
      <w:spacing w:before="100" w:beforeAutospacing="1" w:after="100" w:afterAutospacing="1"/>
    </w:pPr>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documentManagement/types"/>
    <ds:schemaRef ds:uri="9c8a2b7b-0bee-4c48-b0a6-23db8982d3bc"/>
    <ds:schemaRef ds:uri="http://schemas.microsoft.com/office/2006/metadata/properties"/>
    <ds:schemaRef ds:uri="http://schemas.microsoft.com/office/infopath/2007/PartnerControls"/>
    <ds:schemaRef ds:uri="6911e96c-4cc4-42d5-8e43-f93924cf6a05"/>
    <ds:schemaRef ds:uri="http://purl.org/dc/elements/1.1/"/>
    <ds:schemaRef ds:uri="http://purl.org/dc/dcmitype/"/>
    <ds:schemaRef ds:uri="http://purl.org/dc/terms/"/>
    <ds:schemaRef ds:uri="http://schemas.openxmlformats.org/package/2006/metadata/core-properties"/>
    <ds:schemaRef ds:uri="http://www.w3.org/XML/1998/namespace"/>
    <ds:schemaRef ds:uri="cab52c9b-ab33-4221-8af9-54f8f2b86a8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Lau, Gloria</cp:lastModifiedBy>
  <cp:revision>3</cp:revision>
  <dcterms:created xsi:type="dcterms:W3CDTF">2023-10-18T08:30:00Z</dcterms:created>
  <dcterms:modified xsi:type="dcterms:W3CDTF">2023-10-18T08:34:00Z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