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A18376D" w14:textId="77777777" w:rsidR="00193112" w:rsidRPr="00193112" w:rsidRDefault="00193112" w:rsidP="00706DED">
            <w:pPr>
              <w:jc w:val="both"/>
              <w:rPr>
                <w:rFonts w:ascii="Arial" w:hAnsi="Arial" w:cs="Arial"/>
                <w:bCs/>
                <w:i/>
                <w:iCs/>
                <w:sz w:val="22"/>
                <w:szCs w:val="22"/>
              </w:rPr>
            </w:pPr>
            <w:r w:rsidRPr="00193112">
              <w:rPr>
                <w:rFonts w:ascii="Arial" w:hAnsi="Arial" w:cs="Arial"/>
                <w:bCs/>
                <w:i/>
                <w:iCs/>
                <w:sz w:val="22"/>
                <w:szCs w:val="22"/>
              </w:rPr>
              <w:t>Paper</w:t>
            </w:r>
          </w:p>
          <w:p w14:paraId="2003E176" w14:textId="2E130247" w:rsidR="00C8423A" w:rsidRDefault="00E409B6" w:rsidP="00706DED">
            <w:pPr>
              <w:jc w:val="both"/>
              <w:rPr>
                <w:rFonts w:ascii="Arial" w:hAnsi="Arial" w:cs="Arial"/>
                <w:b/>
                <w:sz w:val="22"/>
                <w:szCs w:val="22"/>
              </w:rPr>
            </w:pPr>
            <w:r>
              <w:rPr>
                <w:rFonts w:ascii="Arial" w:hAnsi="Arial" w:cs="Arial"/>
                <w:b/>
                <w:sz w:val="22"/>
                <w:szCs w:val="22"/>
              </w:rPr>
              <w:t>Alignment of Private Capital to Adaptation Targets: An Analysis of NZ Public Disclosures</w:t>
            </w:r>
          </w:p>
          <w:p w14:paraId="3F7D1534" w14:textId="77777777" w:rsidR="00C8423A" w:rsidRPr="009C75AE" w:rsidRDefault="00C8423A" w:rsidP="00ED2EAA">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31D3802A" w14:textId="77777777" w:rsidR="00E763B8" w:rsidRPr="00E763B8" w:rsidRDefault="00E763B8" w:rsidP="00E763B8">
            <w:pPr>
              <w:jc w:val="both"/>
              <w:rPr>
                <w:rFonts w:ascii="Arial" w:hAnsi="Arial" w:cs="Arial"/>
                <w:b/>
                <w:sz w:val="22"/>
                <w:szCs w:val="22"/>
              </w:rPr>
            </w:pPr>
            <w:r w:rsidRPr="00E763B8">
              <w:rPr>
                <w:rFonts w:ascii="Arial" w:hAnsi="Arial" w:cs="Arial"/>
                <w:b/>
                <w:sz w:val="22"/>
                <w:szCs w:val="22"/>
              </w:rPr>
              <w:t>Introduction</w:t>
            </w:r>
          </w:p>
          <w:p w14:paraId="19E8A67A" w14:textId="554DA623" w:rsidR="00E763B8" w:rsidRPr="00E763B8" w:rsidRDefault="00E763B8" w:rsidP="00E763B8">
            <w:pPr>
              <w:jc w:val="both"/>
              <w:rPr>
                <w:rFonts w:ascii="Arial" w:hAnsi="Arial" w:cs="Arial"/>
                <w:bCs/>
                <w:sz w:val="22"/>
                <w:szCs w:val="22"/>
              </w:rPr>
            </w:pPr>
            <w:r w:rsidRPr="00E763B8">
              <w:rPr>
                <w:rFonts w:ascii="Arial" w:hAnsi="Arial" w:cs="Arial"/>
                <w:bCs/>
                <w:sz w:val="22"/>
                <w:szCs w:val="22"/>
              </w:rPr>
              <w:t>Private sector finance is critical for achieving climate resilience, yet its alignment with adaptation targets remains unclear</w:t>
            </w:r>
            <w:r>
              <w:rPr>
                <w:rFonts w:ascii="Arial" w:hAnsi="Arial" w:cs="Arial"/>
                <w:bCs/>
                <w:sz w:val="22"/>
                <w:szCs w:val="22"/>
              </w:rPr>
              <w:t xml:space="preserve"> (UNEP FI 2024)</w:t>
            </w:r>
            <w:r w:rsidRPr="00E763B8">
              <w:rPr>
                <w:rFonts w:ascii="Arial" w:hAnsi="Arial" w:cs="Arial"/>
                <w:bCs/>
                <w:sz w:val="22"/>
                <w:szCs w:val="22"/>
              </w:rPr>
              <w:t>. This research examines the extent to which private capital in New Zealand is directed towards adaptation priorities as outlined in the Paris Agreement’s Global Goal on Adaptation (GGA)</w:t>
            </w:r>
            <w:r w:rsidR="00F4712A">
              <w:rPr>
                <w:rFonts w:ascii="Arial" w:hAnsi="Arial" w:cs="Arial"/>
                <w:bCs/>
                <w:sz w:val="22"/>
                <w:szCs w:val="22"/>
              </w:rPr>
              <w:t xml:space="preserve"> (UNFCCC 2024)</w:t>
            </w:r>
            <w:r w:rsidRPr="00E763B8">
              <w:rPr>
                <w:rFonts w:ascii="Arial" w:hAnsi="Arial" w:cs="Arial"/>
                <w:bCs/>
                <w:sz w:val="22"/>
                <w:szCs w:val="22"/>
              </w:rPr>
              <w:t>.</w:t>
            </w:r>
          </w:p>
          <w:p w14:paraId="0D475EE4" w14:textId="77777777" w:rsidR="00E763B8" w:rsidRPr="00E763B8" w:rsidRDefault="00E763B8" w:rsidP="00E763B8">
            <w:pPr>
              <w:jc w:val="both"/>
              <w:rPr>
                <w:rFonts w:ascii="Arial" w:hAnsi="Arial" w:cs="Arial"/>
                <w:bCs/>
                <w:sz w:val="22"/>
                <w:szCs w:val="22"/>
              </w:rPr>
            </w:pPr>
          </w:p>
          <w:p w14:paraId="06101461" w14:textId="77777777" w:rsidR="00E763B8" w:rsidRPr="00E763B8" w:rsidRDefault="00E763B8" w:rsidP="00E763B8">
            <w:pPr>
              <w:jc w:val="both"/>
              <w:rPr>
                <w:rFonts w:ascii="Arial" w:hAnsi="Arial" w:cs="Arial"/>
                <w:b/>
                <w:sz w:val="22"/>
                <w:szCs w:val="22"/>
              </w:rPr>
            </w:pPr>
            <w:r w:rsidRPr="00E763B8">
              <w:rPr>
                <w:rFonts w:ascii="Arial" w:hAnsi="Arial" w:cs="Arial"/>
                <w:b/>
                <w:sz w:val="22"/>
                <w:szCs w:val="22"/>
              </w:rPr>
              <w:t>Objectives</w:t>
            </w:r>
          </w:p>
          <w:p w14:paraId="31EA8A45" w14:textId="77777777" w:rsidR="00E763B8" w:rsidRPr="00E763B8" w:rsidRDefault="00E763B8" w:rsidP="00E763B8">
            <w:pPr>
              <w:jc w:val="both"/>
              <w:rPr>
                <w:rFonts w:ascii="Arial" w:hAnsi="Arial" w:cs="Arial"/>
                <w:bCs/>
                <w:sz w:val="22"/>
                <w:szCs w:val="22"/>
              </w:rPr>
            </w:pPr>
            <w:r w:rsidRPr="00E763B8">
              <w:rPr>
                <w:rFonts w:ascii="Arial" w:hAnsi="Arial" w:cs="Arial"/>
                <w:bCs/>
                <w:sz w:val="22"/>
                <w:szCs w:val="22"/>
              </w:rPr>
              <w:t>The study aims to assess the degree of alignment between private sector capital flows and the GGA thematic areas, using publicly available corporate disclosures. It seeks to determine whether adaptation finance is effectively mobilised and whether gaps exist in current financial commitments.</w:t>
            </w:r>
          </w:p>
          <w:p w14:paraId="0DC73DAB" w14:textId="77777777" w:rsidR="00E763B8" w:rsidRPr="00E763B8" w:rsidRDefault="00E763B8" w:rsidP="00E763B8">
            <w:pPr>
              <w:jc w:val="both"/>
              <w:rPr>
                <w:rFonts w:ascii="Arial" w:hAnsi="Arial" w:cs="Arial"/>
                <w:bCs/>
                <w:sz w:val="22"/>
                <w:szCs w:val="22"/>
              </w:rPr>
            </w:pPr>
          </w:p>
          <w:p w14:paraId="2F95749E" w14:textId="77777777" w:rsidR="00E763B8" w:rsidRPr="00E763B8" w:rsidRDefault="00E763B8" w:rsidP="00E763B8">
            <w:pPr>
              <w:jc w:val="both"/>
              <w:rPr>
                <w:rFonts w:ascii="Arial" w:hAnsi="Arial" w:cs="Arial"/>
                <w:b/>
                <w:sz w:val="22"/>
                <w:szCs w:val="22"/>
              </w:rPr>
            </w:pPr>
            <w:r w:rsidRPr="00E763B8">
              <w:rPr>
                <w:rFonts w:ascii="Arial" w:hAnsi="Arial" w:cs="Arial"/>
                <w:b/>
                <w:sz w:val="22"/>
                <w:szCs w:val="22"/>
              </w:rPr>
              <w:t>Methodology</w:t>
            </w:r>
          </w:p>
          <w:p w14:paraId="13A7A908" w14:textId="77777777" w:rsidR="00E763B8" w:rsidRPr="00E763B8" w:rsidRDefault="00E763B8" w:rsidP="00E763B8">
            <w:pPr>
              <w:jc w:val="both"/>
              <w:rPr>
                <w:rFonts w:ascii="Arial" w:hAnsi="Arial" w:cs="Arial"/>
                <w:bCs/>
                <w:sz w:val="22"/>
                <w:szCs w:val="22"/>
              </w:rPr>
            </w:pPr>
            <w:r w:rsidRPr="00E763B8">
              <w:rPr>
                <w:rFonts w:ascii="Arial" w:hAnsi="Arial" w:cs="Arial"/>
                <w:bCs/>
                <w:sz w:val="22"/>
                <w:szCs w:val="22"/>
              </w:rPr>
              <w:t>This analysis categorises corporate adaptation finance disclosures based on the GGA’s thematic areas and dimensions. The study applies draft indicators developed by the UAE-Belem expert group in 2025, which are expected to inform the formal adaptation finance reporting framework. A comparative review of disclosures will highlight areas of convergence and misalignment.</w:t>
            </w:r>
          </w:p>
          <w:p w14:paraId="220C48A6" w14:textId="77777777" w:rsidR="00E763B8" w:rsidRPr="00E763B8" w:rsidRDefault="00E763B8" w:rsidP="00E763B8">
            <w:pPr>
              <w:jc w:val="both"/>
              <w:rPr>
                <w:rFonts w:ascii="Arial" w:hAnsi="Arial" w:cs="Arial"/>
                <w:bCs/>
                <w:sz w:val="22"/>
                <w:szCs w:val="22"/>
              </w:rPr>
            </w:pPr>
          </w:p>
          <w:p w14:paraId="4C4BD4FE" w14:textId="77777777" w:rsidR="00E763B8" w:rsidRPr="00E763B8" w:rsidRDefault="00E763B8" w:rsidP="00E763B8">
            <w:pPr>
              <w:jc w:val="both"/>
              <w:rPr>
                <w:rFonts w:ascii="Arial" w:hAnsi="Arial" w:cs="Arial"/>
                <w:b/>
                <w:sz w:val="22"/>
                <w:szCs w:val="22"/>
              </w:rPr>
            </w:pPr>
            <w:r w:rsidRPr="00E763B8">
              <w:rPr>
                <w:rFonts w:ascii="Arial" w:hAnsi="Arial" w:cs="Arial"/>
                <w:b/>
                <w:sz w:val="22"/>
                <w:szCs w:val="22"/>
              </w:rPr>
              <w:t>Findings</w:t>
            </w:r>
          </w:p>
          <w:p w14:paraId="1436FDD0" w14:textId="0FEFD816" w:rsidR="00E763B8" w:rsidRPr="00E763B8" w:rsidRDefault="00E763B8" w:rsidP="00E763B8">
            <w:pPr>
              <w:jc w:val="both"/>
              <w:rPr>
                <w:rFonts w:ascii="Arial" w:hAnsi="Arial" w:cs="Arial"/>
                <w:bCs/>
                <w:sz w:val="22"/>
                <w:szCs w:val="22"/>
              </w:rPr>
            </w:pPr>
            <w:r w:rsidRPr="00E763B8">
              <w:rPr>
                <w:rFonts w:ascii="Arial" w:hAnsi="Arial" w:cs="Arial"/>
                <w:bCs/>
                <w:sz w:val="22"/>
                <w:szCs w:val="22"/>
              </w:rPr>
              <w:t>The findings, due for completion in August 2025, are expected to reveal limited alignment between private sector capital deployment and specific adaptation priorities. Preliminary analysis suggests that adaptation finance remains underdeveloped compared to mitigation finance, with inconsistencies in corporate reporting and a lack of standardised adaptation metrics</w:t>
            </w:r>
            <w:r w:rsidR="00F4712A">
              <w:rPr>
                <w:rFonts w:ascii="Arial" w:hAnsi="Arial" w:cs="Arial"/>
                <w:bCs/>
                <w:sz w:val="22"/>
                <w:szCs w:val="22"/>
              </w:rPr>
              <w:t xml:space="preserve"> (UNEP 2024)</w:t>
            </w:r>
            <w:r w:rsidRPr="00E763B8">
              <w:rPr>
                <w:rFonts w:ascii="Arial" w:hAnsi="Arial" w:cs="Arial"/>
                <w:bCs/>
                <w:sz w:val="22"/>
                <w:szCs w:val="22"/>
              </w:rPr>
              <w:t>.</w:t>
            </w:r>
            <w:r w:rsidR="00F4712A">
              <w:rPr>
                <w:rFonts w:ascii="Arial" w:hAnsi="Arial" w:cs="Arial"/>
                <w:bCs/>
                <w:sz w:val="22"/>
                <w:szCs w:val="22"/>
              </w:rPr>
              <w:t xml:space="preserve"> The information will be presented with data visuals and provide recommendations for both UN agencies, member parties, and NZ regulators.</w:t>
            </w:r>
          </w:p>
          <w:p w14:paraId="1CB3D527" w14:textId="77777777" w:rsidR="00E763B8" w:rsidRPr="00E763B8" w:rsidRDefault="00E763B8" w:rsidP="00E763B8">
            <w:pPr>
              <w:jc w:val="both"/>
              <w:rPr>
                <w:rFonts w:ascii="Arial" w:hAnsi="Arial" w:cs="Arial"/>
                <w:bCs/>
                <w:sz w:val="22"/>
                <w:szCs w:val="22"/>
              </w:rPr>
            </w:pPr>
          </w:p>
          <w:p w14:paraId="3A0502AC" w14:textId="77777777" w:rsidR="00E763B8" w:rsidRPr="00E763B8" w:rsidRDefault="00E763B8" w:rsidP="00E763B8">
            <w:pPr>
              <w:jc w:val="both"/>
              <w:rPr>
                <w:rFonts w:ascii="Arial" w:hAnsi="Arial" w:cs="Arial"/>
                <w:b/>
                <w:sz w:val="22"/>
                <w:szCs w:val="22"/>
              </w:rPr>
            </w:pPr>
            <w:r w:rsidRPr="00E763B8">
              <w:rPr>
                <w:rFonts w:ascii="Arial" w:hAnsi="Arial" w:cs="Arial"/>
                <w:b/>
                <w:sz w:val="22"/>
                <w:szCs w:val="22"/>
              </w:rPr>
              <w:t>Significance for Policy and Practice</w:t>
            </w:r>
          </w:p>
          <w:p w14:paraId="6D446197" w14:textId="53E59C81" w:rsidR="00E763B8" w:rsidRPr="00E763B8" w:rsidRDefault="00E763B8" w:rsidP="00E763B8">
            <w:pPr>
              <w:jc w:val="both"/>
              <w:rPr>
                <w:rFonts w:ascii="Arial" w:hAnsi="Arial" w:cs="Arial"/>
                <w:bCs/>
                <w:sz w:val="22"/>
                <w:szCs w:val="22"/>
              </w:rPr>
            </w:pPr>
            <w:r w:rsidRPr="00E763B8">
              <w:rPr>
                <w:rFonts w:ascii="Arial" w:hAnsi="Arial" w:cs="Arial"/>
                <w:bCs/>
                <w:sz w:val="22"/>
                <w:szCs w:val="22"/>
              </w:rPr>
              <w:t>This research provides one of the first systematic assessments of private sector adaptation finance in New Zealand, benchmarking alignment with emerging GGA indicators. While the full set of 100 indicators is expected to be finalised by November 2025, this study offers an early application of likely adaptation finance metrics. The results can inform both corporate decision-making and policymaking by:</w:t>
            </w:r>
          </w:p>
          <w:p w14:paraId="7360C747" w14:textId="77777777" w:rsidR="00E763B8" w:rsidRPr="00E763B8" w:rsidRDefault="00E763B8" w:rsidP="00E763B8">
            <w:pPr>
              <w:jc w:val="both"/>
              <w:rPr>
                <w:rFonts w:ascii="Arial" w:hAnsi="Arial" w:cs="Arial"/>
                <w:bCs/>
                <w:sz w:val="22"/>
                <w:szCs w:val="22"/>
              </w:rPr>
            </w:pPr>
          </w:p>
          <w:p w14:paraId="62C9DE82" w14:textId="77777777" w:rsidR="00E763B8" w:rsidRPr="00E763B8" w:rsidRDefault="00E763B8" w:rsidP="00E763B8">
            <w:pPr>
              <w:pStyle w:val="ListParagraph"/>
              <w:numPr>
                <w:ilvl w:val="0"/>
                <w:numId w:val="4"/>
              </w:numPr>
              <w:jc w:val="both"/>
              <w:rPr>
                <w:rFonts w:ascii="Arial" w:hAnsi="Arial" w:cs="Arial"/>
                <w:bCs/>
                <w:sz w:val="22"/>
                <w:szCs w:val="22"/>
              </w:rPr>
            </w:pPr>
            <w:r w:rsidRPr="00E763B8">
              <w:rPr>
                <w:rFonts w:ascii="Arial" w:hAnsi="Arial" w:cs="Arial"/>
                <w:bCs/>
                <w:sz w:val="22"/>
                <w:szCs w:val="22"/>
              </w:rPr>
              <w:t>Highlighting areas where financial flows support adaptation priorities.</w:t>
            </w:r>
          </w:p>
          <w:p w14:paraId="756A1AD5" w14:textId="77777777" w:rsidR="00E763B8" w:rsidRPr="00E763B8" w:rsidRDefault="00E763B8" w:rsidP="00E763B8">
            <w:pPr>
              <w:pStyle w:val="ListParagraph"/>
              <w:numPr>
                <w:ilvl w:val="0"/>
                <w:numId w:val="4"/>
              </w:numPr>
              <w:jc w:val="both"/>
              <w:rPr>
                <w:rFonts w:ascii="Arial" w:hAnsi="Arial" w:cs="Arial"/>
                <w:bCs/>
                <w:sz w:val="22"/>
                <w:szCs w:val="22"/>
              </w:rPr>
            </w:pPr>
            <w:r w:rsidRPr="00E763B8">
              <w:rPr>
                <w:rFonts w:ascii="Arial" w:hAnsi="Arial" w:cs="Arial"/>
                <w:bCs/>
                <w:sz w:val="22"/>
                <w:szCs w:val="22"/>
              </w:rPr>
              <w:t>Identifying gaps in investment and reporting that hinder alignment with the Paris Agreement.</w:t>
            </w:r>
          </w:p>
          <w:p w14:paraId="02945604" w14:textId="77777777" w:rsidR="00E763B8" w:rsidRPr="00E763B8" w:rsidRDefault="00E763B8" w:rsidP="00E763B8">
            <w:pPr>
              <w:pStyle w:val="ListParagraph"/>
              <w:numPr>
                <w:ilvl w:val="0"/>
                <w:numId w:val="4"/>
              </w:numPr>
              <w:jc w:val="both"/>
              <w:rPr>
                <w:rFonts w:ascii="Arial" w:hAnsi="Arial" w:cs="Arial"/>
                <w:bCs/>
                <w:sz w:val="22"/>
                <w:szCs w:val="22"/>
              </w:rPr>
            </w:pPr>
            <w:r w:rsidRPr="00E763B8">
              <w:rPr>
                <w:rFonts w:ascii="Arial" w:hAnsi="Arial" w:cs="Arial"/>
                <w:bCs/>
                <w:sz w:val="22"/>
                <w:szCs w:val="22"/>
              </w:rPr>
              <w:t>Offering insights to regulators and financial institutions on how to refine adaptation finance disclosure frameworks.</w:t>
            </w:r>
          </w:p>
          <w:p w14:paraId="68A6088D" w14:textId="0FB49BDE" w:rsidR="00BE58D6" w:rsidRDefault="00E763B8" w:rsidP="00E763B8">
            <w:pPr>
              <w:pStyle w:val="ListParagraph"/>
              <w:numPr>
                <w:ilvl w:val="0"/>
                <w:numId w:val="4"/>
              </w:numPr>
              <w:jc w:val="both"/>
              <w:rPr>
                <w:rFonts w:ascii="Arial" w:hAnsi="Arial" w:cs="Arial"/>
                <w:bCs/>
                <w:sz w:val="22"/>
                <w:szCs w:val="22"/>
              </w:rPr>
            </w:pPr>
            <w:r w:rsidRPr="00E763B8">
              <w:rPr>
                <w:rFonts w:ascii="Arial" w:hAnsi="Arial" w:cs="Arial"/>
                <w:bCs/>
                <w:sz w:val="22"/>
                <w:szCs w:val="22"/>
              </w:rPr>
              <w:t>By providing clarity on private sector engagement, this research supports efforts to scale up adaptation finance and guide New Zealand’s financial sector toward greater alignment with global climate resilience goals.</w:t>
            </w:r>
          </w:p>
          <w:p w14:paraId="06872164" w14:textId="5D23C4F1" w:rsidR="00F4712A" w:rsidRDefault="00F4712A" w:rsidP="00E763B8">
            <w:pPr>
              <w:pStyle w:val="ListParagraph"/>
              <w:numPr>
                <w:ilvl w:val="0"/>
                <w:numId w:val="4"/>
              </w:numPr>
              <w:jc w:val="both"/>
              <w:rPr>
                <w:rFonts w:ascii="Arial" w:hAnsi="Arial" w:cs="Arial"/>
                <w:bCs/>
                <w:sz w:val="22"/>
                <w:szCs w:val="22"/>
              </w:rPr>
            </w:pPr>
            <w:r>
              <w:rPr>
                <w:rFonts w:ascii="Arial" w:hAnsi="Arial" w:cs="Arial"/>
                <w:bCs/>
                <w:sz w:val="22"/>
                <w:szCs w:val="22"/>
              </w:rPr>
              <w:lastRenderedPageBreak/>
              <w:t>Informing new standard setters and regulators in emerging disclosure regimes (e.g. Australia, Singapore, California) about potential future guidance content for climate reporting entities.</w:t>
            </w:r>
          </w:p>
          <w:p w14:paraId="6E54762B" w14:textId="77777777" w:rsidR="00E763B8" w:rsidRPr="00E763B8" w:rsidRDefault="00E763B8" w:rsidP="00E763B8">
            <w:pPr>
              <w:jc w:val="both"/>
              <w:rPr>
                <w:rFonts w:ascii="Arial" w:hAnsi="Arial" w:cs="Arial"/>
                <w:bCs/>
                <w:sz w:val="22"/>
                <w:szCs w:val="22"/>
              </w:rPr>
            </w:pPr>
          </w:p>
          <w:p w14:paraId="39AA1BB4" w14:textId="77777777" w:rsidR="00BE58D6" w:rsidRDefault="00BE58D6" w:rsidP="00706DED">
            <w:pPr>
              <w:jc w:val="both"/>
              <w:rPr>
                <w:rFonts w:ascii="Arial" w:hAnsi="Arial" w:cs="Arial"/>
                <w:b/>
                <w:sz w:val="22"/>
                <w:szCs w:val="22"/>
              </w:rPr>
            </w:pPr>
          </w:p>
          <w:p w14:paraId="5703EBAE" w14:textId="77777777" w:rsidR="009F4EA0" w:rsidRDefault="00E763B8" w:rsidP="00706DED">
            <w:pPr>
              <w:jc w:val="both"/>
              <w:rPr>
                <w:rFonts w:ascii="Arial" w:hAnsi="Arial" w:cs="Arial"/>
                <w:b/>
                <w:sz w:val="22"/>
                <w:szCs w:val="22"/>
              </w:rPr>
            </w:pPr>
            <w:r>
              <w:rPr>
                <w:rFonts w:ascii="Arial" w:hAnsi="Arial" w:cs="Arial"/>
                <w:b/>
                <w:sz w:val="22"/>
                <w:szCs w:val="22"/>
              </w:rPr>
              <w:t>References</w:t>
            </w:r>
          </w:p>
          <w:p w14:paraId="4D044899" w14:textId="77777777" w:rsidR="00E763B8" w:rsidRDefault="00E763B8" w:rsidP="00706DED">
            <w:pPr>
              <w:jc w:val="both"/>
              <w:rPr>
                <w:rFonts w:ascii="Arial" w:hAnsi="Arial" w:cs="Arial"/>
                <w:b/>
                <w:sz w:val="22"/>
                <w:szCs w:val="22"/>
              </w:rPr>
            </w:pPr>
          </w:p>
          <w:p w14:paraId="730F66AE" w14:textId="77777777" w:rsidR="00E763B8" w:rsidRDefault="00E763B8" w:rsidP="00706DED">
            <w:pPr>
              <w:jc w:val="both"/>
              <w:rPr>
                <w:rFonts w:ascii="Arial" w:hAnsi="Arial" w:cs="Arial"/>
                <w:bCs/>
                <w:sz w:val="22"/>
                <w:szCs w:val="22"/>
              </w:rPr>
            </w:pPr>
            <w:r w:rsidRPr="00E763B8">
              <w:rPr>
                <w:rFonts w:ascii="Arial" w:hAnsi="Arial" w:cs="Arial"/>
                <w:bCs/>
                <w:sz w:val="22"/>
                <w:szCs w:val="22"/>
              </w:rPr>
              <w:t xml:space="preserve">UNEP FI (2024) Principles for Responsible Banking: Guidance for banks: Climate Adaptation Target Setting, available from, </w:t>
            </w:r>
            <w:hyperlink r:id="rId8" w:history="1">
              <w:r w:rsidRPr="00A438B6">
                <w:rPr>
                  <w:rStyle w:val="Hyperlink"/>
                  <w:rFonts w:ascii="Arial" w:hAnsi="Arial" w:cs="Arial"/>
                  <w:bCs/>
                  <w:sz w:val="22"/>
                  <w:szCs w:val="22"/>
                </w:rPr>
                <w:t>https://www.unepfi.org/wordpress/wp-content/uploads/2023/11/PRB-Adaptation-Target-Setting-Guidance.pdf</w:t>
              </w:r>
            </w:hyperlink>
            <w:r>
              <w:rPr>
                <w:rFonts w:ascii="Arial" w:hAnsi="Arial" w:cs="Arial"/>
                <w:bCs/>
                <w:sz w:val="22"/>
                <w:szCs w:val="22"/>
              </w:rPr>
              <w:t xml:space="preserve"> </w:t>
            </w:r>
          </w:p>
          <w:p w14:paraId="112A37DA" w14:textId="77777777" w:rsidR="00E763B8" w:rsidRDefault="00E763B8" w:rsidP="00706DED">
            <w:pPr>
              <w:jc w:val="both"/>
              <w:rPr>
                <w:rFonts w:ascii="Arial" w:hAnsi="Arial" w:cs="Arial"/>
                <w:bCs/>
                <w:sz w:val="22"/>
                <w:szCs w:val="22"/>
              </w:rPr>
            </w:pPr>
          </w:p>
          <w:p w14:paraId="2CBAECD6" w14:textId="3214B78B" w:rsidR="00E763B8" w:rsidRPr="000D7047" w:rsidRDefault="00E763B8" w:rsidP="00F4712A">
            <w:pPr>
              <w:rPr>
                <w:rFonts w:ascii="Arial" w:hAnsi="Arial" w:cs="Arial"/>
                <w:b/>
                <w:sz w:val="22"/>
                <w:szCs w:val="22"/>
              </w:rPr>
            </w:pPr>
            <w:r>
              <w:rPr>
                <w:rFonts w:ascii="Arial" w:hAnsi="Arial" w:cs="Arial"/>
                <w:bCs/>
                <w:sz w:val="22"/>
                <w:szCs w:val="22"/>
              </w:rPr>
              <w:t xml:space="preserve">UNFCCC (2024) </w:t>
            </w:r>
            <w:r w:rsidRPr="00F4712A">
              <w:rPr>
                <w:rFonts w:ascii="Arial" w:hAnsi="Arial" w:cs="Arial"/>
                <w:bCs/>
                <w:sz w:val="22"/>
                <w:szCs w:val="22"/>
              </w:rPr>
              <w:t xml:space="preserve">Presidency text CMA 6 agenda item 9(a) Matters relating to the global goal on adaptation, available from </w:t>
            </w:r>
            <w:hyperlink r:id="rId9" w:history="1">
              <w:r w:rsidR="00F4712A" w:rsidRPr="00A438B6">
                <w:rPr>
                  <w:rStyle w:val="Hyperlink"/>
                  <w:rFonts w:ascii="Arial" w:hAnsi="Arial" w:cs="Arial"/>
                  <w:bCs/>
                  <w:sz w:val="22"/>
                  <w:szCs w:val="22"/>
                </w:rPr>
                <w:t>https://unfccc.int/sites/default/files/resource/GGA_6.pdf</w:t>
              </w:r>
            </w:hyperlink>
            <w:r w:rsidR="00F4712A">
              <w:rPr>
                <w:rFonts w:ascii="Arial" w:hAnsi="Arial" w:cs="Arial"/>
                <w:bCs/>
                <w:sz w:val="22"/>
                <w:szCs w:val="22"/>
              </w:rPr>
              <w:t xml:space="preserve"> </w:t>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1D41D76"/>
    <w:multiLevelType w:val="hybridMultilevel"/>
    <w:tmpl w:val="1360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46119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60E84"/>
    <w:rsid w:val="00193112"/>
    <w:rsid w:val="00247C60"/>
    <w:rsid w:val="00256963"/>
    <w:rsid w:val="002E3AA3"/>
    <w:rsid w:val="00317356"/>
    <w:rsid w:val="0034503D"/>
    <w:rsid w:val="00354C31"/>
    <w:rsid w:val="00375B20"/>
    <w:rsid w:val="00386D01"/>
    <w:rsid w:val="004049E7"/>
    <w:rsid w:val="00462B90"/>
    <w:rsid w:val="00465C41"/>
    <w:rsid w:val="004828A0"/>
    <w:rsid w:val="004B69C7"/>
    <w:rsid w:val="004D193B"/>
    <w:rsid w:val="004F4CE8"/>
    <w:rsid w:val="004F5C81"/>
    <w:rsid w:val="0053222C"/>
    <w:rsid w:val="005469BD"/>
    <w:rsid w:val="00550B17"/>
    <w:rsid w:val="005854B8"/>
    <w:rsid w:val="00615D92"/>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B6F4A"/>
    <w:rsid w:val="009C374A"/>
    <w:rsid w:val="009F4EA0"/>
    <w:rsid w:val="00B026E8"/>
    <w:rsid w:val="00BA0872"/>
    <w:rsid w:val="00BA26BB"/>
    <w:rsid w:val="00BC6810"/>
    <w:rsid w:val="00BE0B4D"/>
    <w:rsid w:val="00BE58D6"/>
    <w:rsid w:val="00C048EA"/>
    <w:rsid w:val="00C26081"/>
    <w:rsid w:val="00C4126D"/>
    <w:rsid w:val="00C76C99"/>
    <w:rsid w:val="00C8423A"/>
    <w:rsid w:val="00CD2F00"/>
    <w:rsid w:val="00CE53FE"/>
    <w:rsid w:val="00D716AD"/>
    <w:rsid w:val="00DB7929"/>
    <w:rsid w:val="00DD1BB3"/>
    <w:rsid w:val="00E409B6"/>
    <w:rsid w:val="00E612FF"/>
    <w:rsid w:val="00E65579"/>
    <w:rsid w:val="00E763B8"/>
    <w:rsid w:val="00EB1B31"/>
    <w:rsid w:val="00ED2EAA"/>
    <w:rsid w:val="00F4712A"/>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E763B8"/>
    <w:rPr>
      <w:color w:val="0563C1" w:themeColor="hyperlink"/>
      <w:u w:val="single"/>
    </w:rPr>
  </w:style>
  <w:style w:type="character" w:styleId="UnresolvedMention">
    <w:name w:val="Unresolved Mention"/>
    <w:basedOn w:val="DefaultParagraphFont"/>
    <w:uiPriority w:val="99"/>
    <w:semiHidden/>
    <w:unhideWhenUsed/>
    <w:rsid w:val="00E763B8"/>
    <w:rPr>
      <w:color w:val="605E5C"/>
      <w:shd w:val="clear" w:color="auto" w:fill="E1DFDD"/>
    </w:rPr>
  </w:style>
  <w:style w:type="character" w:styleId="FollowedHyperlink">
    <w:name w:val="FollowedHyperlink"/>
    <w:basedOn w:val="DefaultParagraphFont"/>
    <w:uiPriority w:val="99"/>
    <w:semiHidden/>
    <w:unhideWhenUsed/>
    <w:rsid w:val="00E76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pfi.org/wordpress/wp-content/uploads/2023/11/PRB-Adaptation-Target-Setting-Guidanc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fccc.int/sites/default/files/resource/GGA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D571A-6CC3-4477-A198-A10A7BF5B58D}"/>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c363b0b4-6221-4a92-9651-b32610b9b4aa}" enabled="1" method="Standard" siteId="{abbbd518-e4a2-4f85-8882-e74eb344bc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2025-02-28T08:11:00Z</dcterms:created>
  <dcterms:modified xsi:type="dcterms:W3CDTF">2025-08-08T21:29:00Z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