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ADAD7" w14:textId="1CE8E93F" w:rsidR="003F7F5E" w:rsidRPr="0054642B" w:rsidRDefault="003239AA" w:rsidP="00F606B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54642B">
        <w:rPr>
          <w:rFonts w:ascii="Arial" w:hAnsi="Arial" w:cs="Arial"/>
          <w:b/>
          <w:bCs/>
          <w:sz w:val="22"/>
          <w:szCs w:val="22"/>
        </w:rPr>
        <w:t>Shifting Patterns of PCI vs CABG Utilisation in ACS with Significant Unprotected LMS: 9-Year New Zealand Experience</w:t>
      </w:r>
    </w:p>
    <w:p w14:paraId="1244DB60" w14:textId="77777777" w:rsidR="003239AA" w:rsidRPr="005E2AAC" w:rsidRDefault="003239AA" w:rsidP="00F606B7">
      <w:pPr>
        <w:pStyle w:val="NoSpacing"/>
        <w:rPr>
          <w:rFonts w:ascii="Arial" w:hAnsi="Arial" w:cs="Arial"/>
          <w:b/>
          <w:bCs/>
        </w:rPr>
      </w:pPr>
    </w:p>
    <w:p w14:paraId="5659D04E" w14:textId="77777777" w:rsidR="00F606B7" w:rsidRPr="005E2AAC" w:rsidRDefault="00F606B7" w:rsidP="00F606B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5E2AAC">
        <w:rPr>
          <w:rFonts w:ascii="Arial" w:hAnsi="Arial" w:cs="Arial"/>
          <w:b/>
          <w:bCs/>
          <w:sz w:val="22"/>
          <w:szCs w:val="22"/>
        </w:rPr>
        <w:t xml:space="preserve">Background: </w:t>
      </w:r>
    </w:p>
    <w:p w14:paraId="45DAE727" w14:textId="3C798631" w:rsidR="005E2AAC" w:rsidRPr="005E2AAC" w:rsidRDefault="00CC4565" w:rsidP="003239AA">
      <w:pPr>
        <w:pStyle w:val="NoSpacing"/>
        <w:rPr>
          <w:rFonts w:ascii="Arial" w:hAnsi="Arial" w:cs="Arial"/>
          <w:sz w:val="22"/>
          <w:szCs w:val="22"/>
        </w:rPr>
      </w:pPr>
      <w:r w:rsidRPr="005E2AAC">
        <w:rPr>
          <w:rFonts w:ascii="Arial" w:hAnsi="Arial" w:cs="Arial"/>
          <w:sz w:val="22"/>
          <w:szCs w:val="22"/>
        </w:rPr>
        <w:t>Over the past decade, there has been a global shift toward greater use of percutaneous coronary intervention (PCI) for the management of severe left main coronary artery stenosis (LMS</w:t>
      </w:r>
      <w:r w:rsidR="00AD15DC" w:rsidRPr="005E2AAC">
        <w:rPr>
          <w:rFonts w:ascii="Arial" w:hAnsi="Arial" w:cs="Arial"/>
          <w:sz w:val="22"/>
          <w:szCs w:val="22"/>
        </w:rPr>
        <w:t>).</w:t>
      </w:r>
      <w:r w:rsidR="005E2AAC" w:rsidRPr="005E2AAC">
        <w:rPr>
          <w:rFonts w:ascii="Arial" w:hAnsi="Arial" w:cs="Arial"/>
          <w:sz w:val="22"/>
          <w:szCs w:val="22"/>
        </w:rPr>
        <w:t xml:space="preserve"> We describe temporal trends in contemporary management strategies for acute coronary syndrome (ACS) patients with ≥50% unprotected LMS in New Zealand.</w:t>
      </w:r>
    </w:p>
    <w:p w14:paraId="61BC2B75" w14:textId="77777777" w:rsidR="00F606B7" w:rsidRPr="005E2AAC" w:rsidRDefault="00F606B7" w:rsidP="00F606B7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39F207AE" w14:textId="26535725" w:rsidR="00F606B7" w:rsidRPr="005E2AAC" w:rsidRDefault="00F606B7" w:rsidP="0074441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5E2AAC">
        <w:rPr>
          <w:rFonts w:ascii="Arial" w:hAnsi="Arial" w:cs="Arial"/>
          <w:b/>
          <w:bCs/>
          <w:sz w:val="22"/>
          <w:szCs w:val="22"/>
        </w:rPr>
        <w:t xml:space="preserve"> Method: </w:t>
      </w:r>
    </w:p>
    <w:p w14:paraId="22BF287F" w14:textId="746BBE12" w:rsidR="00F606B7" w:rsidRPr="005E2AAC" w:rsidRDefault="00F606B7" w:rsidP="003239AA">
      <w:pPr>
        <w:pStyle w:val="NoSpacing"/>
        <w:rPr>
          <w:rFonts w:ascii="Arial" w:hAnsi="Arial" w:cs="Arial"/>
          <w:sz w:val="22"/>
          <w:szCs w:val="22"/>
        </w:rPr>
      </w:pPr>
      <w:r w:rsidRPr="005E2AAC">
        <w:rPr>
          <w:rFonts w:ascii="Arial" w:hAnsi="Arial" w:cs="Arial"/>
          <w:sz w:val="22"/>
          <w:szCs w:val="22"/>
        </w:rPr>
        <w:t>The data was extracted from the</w:t>
      </w:r>
      <w:r w:rsidR="009F6EB8" w:rsidRPr="005E2AAC">
        <w:rPr>
          <w:rFonts w:ascii="Arial" w:hAnsi="Arial" w:cs="Arial"/>
          <w:sz w:val="22"/>
          <w:szCs w:val="22"/>
        </w:rPr>
        <w:t xml:space="preserve"> </w:t>
      </w:r>
      <w:r w:rsidR="0052480E" w:rsidRPr="005E2AAC">
        <w:rPr>
          <w:rFonts w:ascii="Arial" w:hAnsi="Arial" w:cs="Arial"/>
          <w:sz w:val="22"/>
          <w:szCs w:val="22"/>
        </w:rPr>
        <w:t xml:space="preserve">Aotearoa New Zealand All Cardiology Services Quality Improvement (ANZACS-QI) </w:t>
      </w:r>
      <w:proofErr w:type="spellStart"/>
      <w:r w:rsidRPr="005E2AAC">
        <w:rPr>
          <w:rFonts w:ascii="Arial" w:hAnsi="Arial" w:cs="Arial"/>
          <w:sz w:val="22"/>
          <w:szCs w:val="22"/>
        </w:rPr>
        <w:t>CathPCI</w:t>
      </w:r>
      <w:proofErr w:type="spellEnd"/>
      <w:r w:rsidRPr="005E2AAC">
        <w:rPr>
          <w:rFonts w:ascii="Arial" w:hAnsi="Arial" w:cs="Arial"/>
          <w:sz w:val="22"/>
          <w:szCs w:val="22"/>
        </w:rPr>
        <w:t xml:space="preserve"> registry from 04/09/2014</w:t>
      </w:r>
      <w:r w:rsidR="00660BE8" w:rsidRPr="005E2AAC">
        <w:rPr>
          <w:rFonts w:ascii="Arial" w:hAnsi="Arial" w:cs="Arial"/>
          <w:sz w:val="22"/>
          <w:szCs w:val="22"/>
        </w:rPr>
        <w:t>-</w:t>
      </w:r>
      <w:r w:rsidRPr="005E2AAC">
        <w:rPr>
          <w:rFonts w:ascii="Arial" w:hAnsi="Arial" w:cs="Arial"/>
          <w:sz w:val="22"/>
          <w:szCs w:val="22"/>
        </w:rPr>
        <w:t>4/09/2023.</w:t>
      </w:r>
      <w:r w:rsidR="009F6EB8" w:rsidRPr="005E2AAC">
        <w:rPr>
          <w:rFonts w:ascii="Arial" w:hAnsi="Arial" w:cs="Arial"/>
          <w:sz w:val="22"/>
          <w:szCs w:val="22"/>
        </w:rPr>
        <w:t xml:space="preserve"> </w:t>
      </w:r>
      <w:r w:rsidRPr="005E2AAC">
        <w:rPr>
          <w:rFonts w:ascii="Arial" w:hAnsi="Arial" w:cs="Arial"/>
          <w:sz w:val="22"/>
          <w:szCs w:val="22"/>
        </w:rPr>
        <w:t xml:space="preserve"> </w:t>
      </w:r>
    </w:p>
    <w:p w14:paraId="17FE1F64" w14:textId="77777777" w:rsidR="003239AA" w:rsidRPr="005E2AAC" w:rsidRDefault="003239AA" w:rsidP="003239AA">
      <w:pPr>
        <w:pStyle w:val="NoSpacing"/>
        <w:rPr>
          <w:rFonts w:ascii="Arial" w:hAnsi="Arial" w:cs="Arial"/>
          <w:sz w:val="22"/>
          <w:szCs w:val="22"/>
        </w:rPr>
      </w:pPr>
    </w:p>
    <w:p w14:paraId="1A815B5E" w14:textId="77777777" w:rsidR="00F606B7" w:rsidRPr="005E2AAC" w:rsidRDefault="00F606B7" w:rsidP="00F606B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5E2AAC">
        <w:rPr>
          <w:rFonts w:ascii="Arial" w:hAnsi="Arial" w:cs="Arial"/>
          <w:b/>
          <w:bCs/>
          <w:sz w:val="22"/>
          <w:szCs w:val="22"/>
        </w:rPr>
        <w:t xml:space="preserve">Results: </w:t>
      </w:r>
    </w:p>
    <w:p w14:paraId="630BA253" w14:textId="1D1DCE8F" w:rsidR="00FA3BAC" w:rsidRPr="005E2AAC" w:rsidRDefault="00FA3BAC" w:rsidP="003239AA">
      <w:pPr>
        <w:pStyle w:val="NoSpacing"/>
        <w:rPr>
          <w:rFonts w:ascii="Arial" w:hAnsi="Arial" w:cs="Arial"/>
          <w:sz w:val="22"/>
          <w:szCs w:val="22"/>
        </w:rPr>
      </w:pPr>
      <w:r w:rsidRPr="005E2AAC">
        <w:rPr>
          <w:rFonts w:ascii="Arial" w:hAnsi="Arial" w:cs="Arial"/>
          <w:spacing w:val="1"/>
          <w:sz w:val="22"/>
          <w:szCs w:val="22"/>
        </w:rPr>
        <w:t xml:space="preserve">The cohort comprised 4,656 </w:t>
      </w:r>
      <w:r w:rsidR="00B62E14" w:rsidRPr="005E2AAC">
        <w:rPr>
          <w:rFonts w:ascii="Arial" w:hAnsi="Arial" w:cs="Arial"/>
          <w:spacing w:val="1"/>
          <w:sz w:val="22"/>
          <w:szCs w:val="22"/>
        </w:rPr>
        <w:t>patients, mean</w:t>
      </w:r>
      <w:r w:rsidRPr="005E2AAC">
        <w:rPr>
          <w:rFonts w:ascii="Arial" w:hAnsi="Arial" w:cs="Arial"/>
          <w:spacing w:val="1"/>
          <w:sz w:val="22"/>
          <w:szCs w:val="22"/>
        </w:rPr>
        <w:t xml:space="preserve"> age 68.8 ± 10.5 years, of whom 76.2% were male. Among these patients, 875 (18.8%) underwent </w:t>
      </w:r>
      <w:r w:rsidR="00CC4565" w:rsidRPr="005E2AAC">
        <w:rPr>
          <w:rFonts w:ascii="Arial" w:hAnsi="Arial" w:cs="Arial"/>
          <w:spacing w:val="1"/>
          <w:sz w:val="22"/>
          <w:szCs w:val="22"/>
        </w:rPr>
        <w:t xml:space="preserve">PCI </w:t>
      </w:r>
      <w:r w:rsidRPr="005E2AAC">
        <w:rPr>
          <w:rFonts w:ascii="Arial" w:hAnsi="Arial" w:cs="Arial"/>
          <w:spacing w:val="1"/>
          <w:sz w:val="22"/>
          <w:szCs w:val="22"/>
        </w:rPr>
        <w:t>to LMS, 2,425 (52.1%) underwent inpatient coronary artery bypass grafting (CABG), 603 (13.0%) received PCI to a non-LMS artery, and 753 (16.2%) did not undergo revascularisation.</w:t>
      </w:r>
    </w:p>
    <w:p w14:paraId="5C8F53E2" w14:textId="77777777" w:rsidR="00FA3BAC" w:rsidRPr="005E2AAC" w:rsidRDefault="00FA3BAC" w:rsidP="00FA3BAC">
      <w:pPr>
        <w:pStyle w:val="NoSpacing"/>
        <w:rPr>
          <w:rFonts w:ascii="Arial" w:hAnsi="Arial" w:cs="Arial"/>
          <w:sz w:val="22"/>
          <w:szCs w:val="22"/>
        </w:rPr>
      </w:pPr>
    </w:p>
    <w:p w14:paraId="0B0BCEF1" w14:textId="0ABF9725" w:rsidR="003239AA" w:rsidRPr="005E2AAC" w:rsidRDefault="003239AA" w:rsidP="003239AA">
      <w:pPr>
        <w:pStyle w:val="NoSpacing"/>
        <w:rPr>
          <w:rFonts w:ascii="Arial" w:hAnsi="Arial" w:cs="Arial"/>
          <w:sz w:val="22"/>
          <w:szCs w:val="22"/>
        </w:rPr>
      </w:pPr>
      <w:r w:rsidRPr="005E2AAC">
        <w:rPr>
          <w:rFonts w:ascii="Arial" w:hAnsi="Arial" w:cs="Arial"/>
          <w:sz w:val="22"/>
          <w:szCs w:val="22"/>
        </w:rPr>
        <w:t>Over the 9-year period, there was a significant shift in revascularisation strategy, with increasing LMS PCI utilisation and declining CABG rates</w:t>
      </w:r>
      <w:r w:rsidR="005E2AAC">
        <w:rPr>
          <w:rFonts w:ascii="Arial" w:hAnsi="Arial" w:cs="Arial"/>
          <w:sz w:val="22"/>
          <w:szCs w:val="22"/>
        </w:rPr>
        <w:t xml:space="preserve"> </w:t>
      </w:r>
      <w:r w:rsidRPr="005E2AAC">
        <w:rPr>
          <w:rFonts w:ascii="Arial" w:hAnsi="Arial" w:cs="Arial"/>
          <w:sz w:val="22"/>
          <w:szCs w:val="22"/>
        </w:rPr>
        <w:t>most pronounced in patients &gt;80 years, who showed marked CABG reduction and greater LMS PCI adoption. Mean age for each revascularisation strategy remained stable throughout.</w:t>
      </w:r>
    </w:p>
    <w:p w14:paraId="0D36E707" w14:textId="77777777" w:rsidR="003239AA" w:rsidRPr="005E2AAC" w:rsidRDefault="003239AA" w:rsidP="00F606B7">
      <w:pPr>
        <w:pStyle w:val="NoSpacing"/>
        <w:rPr>
          <w:rFonts w:ascii="Arial" w:hAnsi="Arial" w:cs="Arial"/>
          <w:sz w:val="22"/>
          <w:szCs w:val="22"/>
        </w:rPr>
      </w:pPr>
    </w:p>
    <w:p w14:paraId="5D95DB84" w14:textId="7E504598" w:rsidR="00F606B7" w:rsidRPr="005E2AAC" w:rsidRDefault="00F606B7" w:rsidP="00F606B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5E2AAC">
        <w:rPr>
          <w:rFonts w:ascii="Arial" w:hAnsi="Arial" w:cs="Arial"/>
          <w:b/>
          <w:bCs/>
          <w:sz w:val="22"/>
          <w:szCs w:val="22"/>
        </w:rPr>
        <w:t>Conclusion:</w:t>
      </w:r>
    </w:p>
    <w:p w14:paraId="17C66CBD" w14:textId="6F2CD79F" w:rsidR="003239AA" w:rsidRPr="005E2AAC" w:rsidRDefault="003239AA" w:rsidP="00B62E14">
      <w:pPr>
        <w:pStyle w:val="NoSpacing"/>
        <w:rPr>
          <w:rFonts w:ascii="Arial" w:hAnsi="Arial" w:cs="Arial"/>
          <w:sz w:val="22"/>
          <w:szCs w:val="22"/>
        </w:rPr>
      </w:pPr>
      <w:r w:rsidRPr="005E2AAC">
        <w:rPr>
          <w:rFonts w:ascii="Arial" w:hAnsi="Arial" w:cs="Arial"/>
          <w:sz w:val="22"/>
          <w:szCs w:val="22"/>
        </w:rPr>
        <w:t>In this national ACS cohort with severe unprotected left main coronary stenosis, management shifted significantly toward increased PCI to LMS and reduced CABG utilisation over 9 years, consistent with global trends.</w:t>
      </w:r>
    </w:p>
    <w:p w14:paraId="55177E72" w14:textId="77777777" w:rsidR="00AD15DC" w:rsidRPr="005E2AAC" w:rsidRDefault="00AD15D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137" w:tblpY="109"/>
        <w:tblW w:w="80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70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62E14" w:rsidRPr="005E2AAC" w14:paraId="18B4A85D" w14:textId="77777777" w:rsidTr="005E2AAC">
        <w:tc>
          <w:tcPr>
            <w:tcW w:w="997" w:type="dxa"/>
          </w:tcPr>
          <w:p w14:paraId="73A5D282" w14:textId="782AEBBA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ACS patients </w:t>
            </w:r>
            <w:r w:rsidR="003763E8"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≥</w:t>
            </w: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50% LMS</w:t>
            </w:r>
          </w:p>
        </w:tc>
        <w:tc>
          <w:tcPr>
            <w:tcW w:w="704" w:type="dxa"/>
          </w:tcPr>
          <w:p w14:paraId="3B89B9BE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14:paraId="2DA772E2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14:paraId="0BEF1F2C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708" w:type="dxa"/>
          </w:tcPr>
          <w:p w14:paraId="6F8B9101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709" w:type="dxa"/>
          </w:tcPr>
          <w:p w14:paraId="5846D224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14:paraId="2FF895CE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14:paraId="6E97DACC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14:paraId="52B1B194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9" w:type="dxa"/>
          </w:tcPr>
          <w:p w14:paraId="05F66325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14:paraId="584636E4" w14:textId="77777777" w:rsidR="00B62E14" w:rsidRPr="005E2AAC" w:rsidRDefault="00B62E14" w:rsidP="005E2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B62E14" w:rsidRPr="005E2AAC" w14:paraId="7F03CB95" w14:textId="77777777" w:rsidTr="005E2AAC">
        <w:tc>
          <w:tcPr>
            <w:tcW w:w="997" w:type="dxa"/>
          </w:tcPr>
          <w:p w14:paraId="65ABC1F6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Total Number</w:t>
            </w:r>
          </w:p>
        </w:tc>
        <w:tc>
          <w:tcPr>
            <w:tcW w:w="704" w:type="dxa"/>
          </w:tcPr>
          <w:p w14:paraId="093CF3D4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709" w:type="dxa"/>
          </w:tcPr>
          <w:p w14:paraId="0262D05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709" w:type="dxa"/>
          </w:tcPr>
          <w:p w14:paraId="23DFD95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708" w:type="dxa"/>
          </w:tcPr>
          <w:p w14:paraId="5DA1FE34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709" w:type="dxa"/>
          </w:tcPr>
          <w:p w14:paraId="2AA1FDB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709" w:type="dxa"/>
          </w:tcPr>
          <w:p w14:paraId="238E18E3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709" w:type="dxa"/>
          </w:tcPr>
          <w:p w14:paraId="1D5D8F0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708" w:type="dxa"/>
          </w:tcPr>
          <w:p w14:paraId="29452C8E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709" w:type="dxa"/>
          </w:tcPr>
          <w:p w14:paraId="5DCB06B8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709" w:type="dxa"/>
          </w:tcPr>
          <w:p w14:paraId="50CDB774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2E14" w:rsidRPr="005E2AAC" w14:paraId="4F08E621" w14:textId="77777777" w:rsidTr="005E2AAC">
        <w:tc>
          <w:tcPr>
            <w:tcW w:w="997" w:type="dxa"/>
          </w:tcPr>
          <w:p w14:paraId="4FA6094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PCI LMS</w:t>
            </w:r>
          </w:p>
        </w:tc>
        <w:tc>
          <w:tcPr>
            <w:tcW w:w="704" w:type="dxa"/>
          </w:tcPr>
          <w:p w14:paraId="2FBF46F5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65 (13.2)</w:t>
            </w:r>
          </w:p>
        </w:tc>
        <w:tc>
          <w:tcPr>
            <w:tcW w:w="709" w:type="dxa"/>
          </w:tcPr>
          <w:p w14:paraId="5811EE22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63 (12.6)</w:t>
            </w:r>
          </w:p>
        </w:tc>
        <w:tc>
          <w:tcPr>
            <w:tcW w:w="709" w:type="dxa"/>
          </w:tcPr>
          <w:p w14:paraId="42E972F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90 (18.8)</w:t>
            </w:r>
          </w:p>
        </w:tc>
        <w:tc>
          <w:tcPr>
            <w:tcW w:w="708" w:type="dxa"/>
          </w:tcPr>
          <w:p w14:paraId="10ECDED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110 (21.0)</w:t>
            </w:r>
          </w:p>
        </w:tc>
        <w:tc>
          <w:tcPr>
            <w:tcW w:w="709" w:type="dxa"/>
          </w:tcPr>
          <w:p w14:paraId="6A2E189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110 (19.2)</w:t>
            </w:r>
          </w:p>
        </w:tc>
        <w:tc>
          <w:tcPr>
            <w:tcW w:w="709" w:type="dxa"/>
          </w:tcPr>
          <w:p w14:paraId="0572A9C2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118 (22.9)</w:t>
            </w:r>
          </w:p>
        </w:tc>
        <w:tc>
          <w:tcPr>
            <w:tcW w:w="709" w:type="dxa"/>
          </w:tcPr>
          <w:p w14:paraId="1AE73AD7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116 (22.6)</w:t>
            </w:r>
          </w:p>
        </w:tc>
        <w:tc>
          <w:tcPr>
            <w:tcW w:w="708" w:type="dxa"/>
          </w:tcPr>
          <w:p w14:paraId="33C908E5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94 (17.4)</w:t>
            </w:r>
          </w:p>
        </w:tc>
        <w:tc>
          <w:tcPr>
            <w:tcW w:w="709" w:type="dxa"/>
          </w:tcPr>
          <w:p w14:paraId="42671B46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109 (20.9)</w:t>
            </w:r>
          </w:p>
        </w:tc>
        <w:tc>
          <w:tcPr>
            <w:tcW w:w="709" w:type="dxa"/>
          </w:tcPr>
          <w:p w14:paraId="088E1D5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B62E14" w:rsidRPr="005E2AAC" w14:paraId="6F0EE0DE" w14:textId="77777777" w:rsidTr="005E2AAC">
        <w:tc>
          <w:tcPr>
            <w:tcW w:w="997" w:type="dxa"/>
          </w:tcPr>
          <w:p w14:paraId="2371511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CABG</w:t>
            </w:r>
          </w:p>
        </w:tc>
        <w:tc>
          <w:tcPr>
            <w:tcW w:w="704" w:type="dxa"/>
          </w:tcPr>
          <w:p w14:paraId="4D3F9AD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286  (58.2)</w:t>
            </w:r>
          </w:p>
        </w:tc>
        <w:tc>
          <w:tcPr>
            <w:tcW w:w="709" w:type="dxa"/>
          </w:tcPr>
          <w:p w14:paraId="1C23331F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276 (55.3)</w:t>
            </w:r>
          </w:p>
        </w:tc>
        <w:tc>
          <w:tcPr>
            <w:tcW w:w="709" w:type="dxa"/>
          </w:tcPr>
          <w:p w14:paraId="0D6CF505" w14:textId="77777777" w:rsidR="00B62E14" w:rsidRPr="005E2AAC" w:rsidRDefault="00B62E14" w:rsidP="005E2AAC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252 (52.6)</w:t>
            </w:r>
            <w:r w:rsidRPr="005E2AA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14:paraId="2800829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268 (51.1)</w:t>
            </w:r>
          </w:p>
        </w:tc>
        <w:tc>
          <w:tcPr>
            <w:tcW w:w="709" w:type="dxa"/>
          </w:tcPr>
          <w:p w14:paraId="369F3A38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299 (52.2)</w:t>
            </w:r>
          </w:p>
        </w:tc>
        <w:tc>
          <w:tcPr>
            <w:tcW w:w="709" w:type="dxa"/>
          </w:tcPr>
          <w:p w14:paraId="15893BE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252 (48.8)</w:t>
            </w:r>
          </w:p>
        </w:tc>
        <w:tc>
          <w:tcPr>
            <w:tcW w:w="709" w:type="dxa"/>
          </w:tcPr>
          <w:p w14:paraId="4CCAEFC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271 (52.8)</w:t>
            </w:r>
          </w:p>
        </w:tc>
        <w:tc>
          <w:tcPr>
            <w:tcW w:w="708" w:type="dxa"/>
          </w:tcPr>
          <w:p w14:paraId="205E1C6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283 (52.4)</w:t>
            </w:r>
          </w:p>
        </w:tc>
        <w:tc>
          <w:tcPr>
            <w:tcW w:w="709" w:type="dxa"/>
          </w:tcPr>
          <w:p w14:paraId="55749D9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238 (45.7)</w:t>
            </w:r>
          </w:p>
        </w:tc>
        <w:tc>
          <w:tcPr>
            <w:tcW w:w="709" w:type="dxa"/>
          </w:tcPr>
          <w:p w14:paraId="75CDB11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0.0004</w:t>
            </w:r>
          </w:p>
        </w:tc>
      </w:tr>
      <w:tr w:rsidR="00B62E14" w:rsidRPr="005E2AAC" w14:paraId="554BEE66" w14:textId="77777777" w:rsidTr="005E2AAC">
        <w:tc>
          <w:tcPr>
            <w:tcW w:w="997" w:type="dxa"/>
          </w:tcPr>
          <w:p w14:paraId="28D5A30E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No revascularisation</w:t>
            </w:r>
          </w:p>
        </w:tc>
        <w:tc>
          <w:tcPr>
            <w:tcW w:w="704" w:type="dxa"/>
          </w:tcPr>
          <w:p w14:paraId="26DD140C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77 (15.7)</w:t>
            </w:r>
          </w:p>
        </w:tc>
        <w:tc>
          <w:tcPr>
            <w:tcW w:w="709" w:type="dxa"/>
          </w:tcPr>
          <w:p w14:paraId="0A56E08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104 (20.8)</w:t>
            </w:r>
          </w:p>
        </w:tc>
        <w:tc>
          <w:tcPr>
            <w:tcW w:w="709" w:type="dxa"/>
          </w:tcPr>
          <w:p w14:paraId="41F0A8E2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74 (15.4)</w:t>
            </w:r>
          </w:p>
        </w:tc>
        <w:tc>
          <w:tcPr>
            <w:tcW w:w="708" w:type="dxa"/>
          </w:tcPr>
          <w:p w14:paraId="488BBA05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88 (16.8)</w:t>
            </w:r>
          </w:p>
        </w:tc>
        <w:tc>
          <w:tcPr>
            <w:tcW w:w="709" w:type="dxa"/>
          </w:tcPr>
          <w:p w14:paraId="336C3C7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78 (13.6)</w:t>
            </w:r>
          </w:p>
        </w:tc>
        <w:tc>
          <w:tcPr>
            <w:tcW w:w="709" w:type="dxa"/>
          </w:tcPr>
          <w:p w14:paraId="5A5780BC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79 (15.3)</w:t>
            </w:r>
          </w:p>
        </w:tc>
        <w:tc>
          <w:tcPr>
            <w:tcW w:w="709" w:type="dxa"/>
          </w:tcPr>
          <w:p w14:paraId="69F2834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64 (12.5)</w:t>
            </w:r>
          </w:p>
        </w:tc>
        <w:tc>
          <w:tcPr>
            <w:tcW w:w="708" w:type="dxa"/>
          </w:tcPr>
          <w:p w14:paraId="17A3834E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93 (17.2)</w:t>
            </w:r>
          </w:p>
        </w:tc>
        <w:tc>
          <w:tcPr>
            <w:tcW w:w="709" w:type="dxa"/>
          </w:tcPr>
          <w:p w14:paraId="76F0FD82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96 (18.4)</w:t>
            </w:r>
          </w:p>
        </w:tc>
        <w:tc>
          <w:tcPr>
            <w:tcW w:w="709" w:type="dxa"/>
          </w:tcPr>
          <w:p w14:paraId="163A4A95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0.5864</w:t>
            </w:r>
          </w:p>
        </w:tc>
      </w:tr>
      <w:tr w:rsidR="00B62E14" w:rsidRPr="005E2AAC" w14:paraId="6011CE78" w14:textId="77777777" w:rsidTr="005E2AAC">
        <w:tc>
          <w:tcPr>
            <w:tcW w:w="997" w:type="dxa"/>
          </w:tcPr>
          <w:p w14:paraId="5D05A8B4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PCI non-LMS</w:t>
            </w:r>
          </w:p>
        </w:tc>
        <w:tc>
          <w:tcPr>
            <w:tcW w:w="704" w:type="dxa"/>
          </w:tcPr>
          <w:p w14:paraId="3D25DF93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63 (12.8)</w:t>
            </w:r>
          </w:p>
        </w:tc>
        <w:tc>
          <w:tcPr>
            <w:tcW w:w="709" w:type="dxa"/>
          </w:tcPr>
          <w:p w14:paraId="70FEF09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56 (11.2)</w:t>
            </w:r>
          </w:p>
        </w:tc>
        <w:tc>
          <w:tcPr>
            <w:tcW w:w="709" w:type="dxa"/>
          </w:tcPr>
          <w:p w14:paraId="7F613AD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63 (13.2)</w:t>
            </w:r>
          </w:p>
        </w:tc>
        <w:tc>
          <w:tcPr>
            <w:tcW w:w="708" w:type="dxa"/>
          </w:tcPr>
          <w:p w14:paraId="501BC796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58 (11.1)</w:t>
            </w:r>
          </w:p>
        </w:tc>
        <w:tc>
          <w:tcPr>
            <w:tcW w:w="709" w:type="dxa"/>
          </w:tcPr>
          <w:p w14:paraId="54C4B236" w14:textId="77777777" w:rsidR="00B62E14" w:rsidRPr="005E2AAC" w:rsidRDefault="00B62E14" w:rsidP="005E2AAC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 xml:space="preserve">86 (15.0) </w:t>
            </w:r>
            <w:r w:rsidRPr="005E2AA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14:paraId="18F5B0F7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67 (13.0)</w:t>
            </w:r>
          </w:p>
        </w:tc>
        <w:tc>
          <w:tcPr>
            <w:tcW w:w="709" w:type="dxa"/>
          </w:tcPr>
          <w:p w14:paraId="2492A41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 xml:space="preserve">62 (12.) </w:t>
            </w:r>
          </w:p>
        </w:tc>
        <w:tc>
          <w:tcPr>
            <w:tcW w:w="708" w:type="dxa"/>
          </w:tcPr>
          <w:p w14:paraId="28ACB35C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70 (13.0)</w:t>
            </w:r>
          </w:p>
        </w:tc>
        <w:tc>
          <w:tcPr>
            <w:tcW w:w="709" w:type="dxa"/>
          </w:tcPr>
          <w:p w14:paraId="04699715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78 (15.0)</w:t>
            </w:r>
          </w:p>
        </w:tc>
        <w:tc>
          <w:tcPr>
            <w:tcW w:w="709" w:type="dxa"/>
          </w:tcPr>
          <w:p w14:paraId="61D5BF1E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0.2344</w:t>
            </w:r>
          </w:p>
        </w:tc>
      </w:tr>
      <w:tr w:rsidR="00B62E14" w:rsidRPr="005E2AAC" w14:paraId="14403C97" w14:textId="77777777" w:rsidTr="005E2AAC">
        <w:tc>
          <w:tcPr>
            <w:tcW w:w="997" w:type="dxa"/>
          </w:tcPr>
          <w:p w14:paraId="262AB30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b/>
                <w:bCs/>
                <w:sz w:val="18"/>
                <w:szCs w:val="18"/>
              </w:rPr>
              <w:t>Age 80+ (%)</w:t>
            </w:r>
          </w:p>
        </w:tc>
        <w:tc>
          <w:tcPr>
            <w:tcW w:w="704" w:type="dxa"/>
          </w:tcPr>
          <w:p w14:paraId="4F21E5EF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7EE0F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89F14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F8E597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8C9451" w14:textId="77777777" w:rsidR="00B62E14" w:rsidRPr="005E2AAC" w:rsidRDefault="00B62E14" w:rsidP="005E2AAC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22C5B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06B7BF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6C3E6D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7A9DE3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0815FD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14" w:rsidRPr="005E2AAC" w14:paraId="0B332169" w14:textId="77777777" w:rsidTr="005E2AAC">
        <w:tc>
          <w:tcPr>
            <w:tcW w:w="997" w:type="dxa"/>
          </w:tcPr>
          <w:p w14:paraId="7F6130BD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PCI LMS</w:t>
            </w:r>
          </w:p>
        </w:tc>
        <w:tc>
          <w:tcPr>
            <w:tcW w:w="704" w:type="dxa"/>
          </w:tcPr>
          <w:p w14:paraId="4E97B23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16 (21.3)</w:t>
            </w:r>
          </w:p>
        </w:tc>
        <w:tc>
          <w:tcPr>
            <w:tcW w:w="709" w:type="dxa"/>
          </w:tcPr>
          <w:p w14:paraId="2C9D46BE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21 (25.6)</w:t>
            </w:r>
          </w:p>
        </w:tc>
        <w:tc>
          <w:tcPr>
            <w:tcW w:w="709" w:type="dxa"/>
          </w:tcPr>
          <w:p w14:paraId="28AFC18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22 (27.9)</w:t>
            </w:r>
          </w:p>
        </w:tc>
        <w:tc>
          <w:tcPr>
            <w:tcW w:w="708" w:type="dxa"/>
          </w:tcPr>
          <w:p w14:paraId="79A08ECA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26 (32.9)</w:t>
            </w:r>
          </w:p>
        </w:tc>
        <w:tc>
          <w:tcPr>
            <w:tcW w:w="709" w:type="dxa"/>
          </w:tcPr>
          <w:p w14:paraId="1F92DC69" w14:textId="77777777" w:rsidR="00B62E14" w:rsidRPr="005E2AAC" w:rsidRDefault="00B62E14" w:rsidP="005E2AAC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23 (30.3)</w:t>
            </w:r>
          </w:p>
        </w:tc>
        <w:tc>
          <w:tcPr>
            <w:tcW w:w="709" w:type="dxa"/>
          </w:tcPr>
          <w:p w14:paraId="601E79E4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30 (35.3)</w:t>
            </w:r>
          </w:p>
        </w:tc>
        <w:tc>
          <w:tcPr>
            <w:tcW w:w="709" w:type="dxa"/>
          </w:tcPr>
          <w:p w14:paraId="0C37003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30 (37.5)</w:t>
            </w:r>
          </w:p>
        </w:tc>
        <w:tc>
          <w:tcPr>
            <w:tcW w:w="708" w:type="dxa"/>
          </w:tcPr>
          <w:p w14:paraId="350EFB8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36 (38.7)</w:t>
            </w:r>
          </w:p>
        </w:tc>
        <w:tc>
          <w:tcPr>
            <w:tcW w:w="709" w:type="dxa"/>
          </w:tcPr>
          <w:p w14:paraId="1AD4CFA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27 (31.2)</w:t>
            </w:r>
          </w:p>
        </w:tc>
        <w:tc>
          <w:tcPr>
            <w:tcW w:w="709" w:type="dxa"/>
          </w:tcPr>
          <w:p w14:paraId="712DF594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0.0104</w:t>
            </w:r>
          </w:p>
        </w:tc>
      </w:tr>
      <w:tr w:rsidR="00B62E14" w:rsidRPr="005E2AAC" w14:paraId="757340BD" w14:textId="77777777" w:rsidTr="005E2AAC">
        <w:tc>
          <w:tcPr>
            <w:tcW w:w="997" w:type="dxa"/>
          </w:tcPr>
          <w:p w14:paraId="43956953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CABG</w:t>
            </w:r>
          </w:p>
        </w:tc>
        <w:tc>
          <w:tcPr>
            <w:tcW w:w="704" w:type="dxa"/>
          </w:tcPr>
          <w:p w14:paraId="55F6671F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25 (33.3)</w:t>
            </w:r>
          </w:p>
        </w:tc>
        <w:tc>
          <w:tcPr>
            <w:tcW w:w="709" w:type="dxa"/>
          </w:tcPr>
          <w:p w14:paraId="68DF0586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15 (18.3)</w:t>
            </w:r>
          </w:p>
        </w:tc>
        <w:tc>
          <w:tcPr>
            <w:tcW w:w="709" w:type="dxa"/>
          </w:tcPr>
          <w:p w14:paraId="4EE3C9C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23 (29.1)</w:t>
            </w:r>
          </w:p>
        </w:tc>
        <w:tc>
          <w:tcPr>
            <w:tcW w:w="708" w:type="dxa"/>
          </w:tcPr>
          <w:p w14:paraId="13C0F146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15 (19.0)</w:t>
            </w:r>
          </w:p>
        </w:tc>
        <w:tc>
          <w:tcPr>
            <w:tcW w:w="709" w:type="dxa"/>
          </w:tcPr>
          <w:p w14:paraId="6BF4C851" w14:textId="77777777" w:rsidR="00B62E14" w:rsidRPr="005E2AAC" w:rsidRDefault="00B62E14" w:rsidP="005E2AAC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17 (22.4)</w:t>
            </w:r>
          </w:p>
        </w:tc>
        <w:tc>
          <w:tcPr>
            <w:tcW w:w="709" w:type="dxa"/>
          </w:tcPr>
          <w:p w14:paraId="28B5CCF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14 (16.5)</w:t>
            </w:r>
          </w:p>
        </w:tc>
        <w:tc>
          <w:tcPr>
            <w:tcW w:w="709" w:type="dxa"/>
          </w:tcPr>
          <w:p w14:paraId="61856EE8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15 (18.8)</w:t>
            </w:r>
          </w:p>
        </w:tc>
        <w:tc>
          <w:tcPr>
            <w:tcW w:w="708" w:type="dxa"/>
          </w:tcPr>
          <w:p w14:paraId="56FC9D2F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16 (17.2)</w:t>
            </w:r>
          </w:p>
        </w:tc>
        <w:tc>
          <w:tcPr>
            <w:tcW w:w="709" w:type="dxa"/>
          </w:tcPr>
          <w:p w14:paraId="34270B4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9 (10.6)</w:t>
            </w:r>
          </w:p>
        </w:tc>
        <w:tc>
          <w:tcPr>
            <w:tcW w:w="709" w:type="dxa"/>
          </w:tcPr>
          <w:p w14:paraId="58E8C8FC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0.0008</w:t>
            </w:r>
          </w:p>
        </w:tc>
      </w:tr>
      <w:tr w:rsidR="00B62E14" w:rsidRPr="005E2AAC" w14:paraId="44B2B323" w14:textId="77777777" w:rsidTr="005E2AAC">
        <w:tc>
          <w:tcPr>
            <w:tcW w:w="997" w:type="dxa"/>
          </w:tcPr>
          <w:p w14:paraId="618780A7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No revascularisation</w:t>
            </w:r>
          </w:p>
        </w:tc>
        <w:tc>
          <w:tcPr>
            <w:tcW w:w="704" w:type="dxa"/>
          </w:tcPr>
          <w:p w14:paraId="265F7963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21 (28.0)</w:t>
            </w:r>
          </w:p>
        </w:tc>
        <w:tc>
          <w:tcPr>
            <w:tcW w:w="709" w:type="dxa"/>
          </w:tcPr>
          <w:p w14:paraId="37C081F7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30 (36.6)</w:t>
            </w:r>
          </w:p>
        </w:tc>
        <w:tc>
          <w:tcPr>
            <w:tcW w:w="709" w:type="dxa"/>
          </w:tcPr>
          <w:p w14:paraId="6F46A0A4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19 (24.1)</w:t>
            </w:r>
          </w:p>
        </w:tc>
        <w:tc>
          <w:tcPr>
            <w:tcW w:w="708" w:type="dxa"/>
          </w:tcPr>
          <w:p w14:paraId="038DB176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27 (34.2)</w:t>
            </w:r>
          </w:p>
        </w:tc>
        <w:tc>
          <w:tcPr>
            <w:tcW w:w="709" w:type="dxa"/>
          </w:tcPr>
          <w:p w14:paraId="6DDDB556" w14:textId="77777777" w:rsidR="00B62E14" w:rsidRPr="005E2AAC" w:rsidRDefault="00B62E14" w:rsidP="005E2AAC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21 (27.6)</w:t>
            </w:r>
          </w:p>
        </w:tc>
        <w:tc>
          <w:tcPr>
            <w:tcW w:w="709" w:type="dxa"/>
          </w:tcPr>
          <w:p w14:paraId="6D828A4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23 (27.1)</w:t>
            </w:r>
          </w:p>
        </w:tc>
        <w:tc>
          <w:tcPr>
            <w:tcW w:w="709" w:type="dxa"/>
          </w:tcPr>
          <w:p w14:paraId="4400485F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23 (28.8)</w:t>
            </w:r>
          </w:p>
        </w:tc>
        <w:tc>
          <w:tcPr>
            <w:tcW w:w="708" w:type="dxa"/>
          </w:tcPr>
          <w:p w14:paraId="59E5385B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26 (28.0)</w:t>
            </w:r>
          </w:p>
        </w:tc>
        <w:tc>
          <w:tcPr>
            <w:tcW w:w="709" w:type="dxa"/>
          </w:tcPr>
          <w:p w14:paraId="49AFDEB7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23 (27.1)</w:t>
            </w:r>
          </w:p>
        </w:tc>
        <w:tc>
          <w:tcPr>
            <w:tcW w:w="709" w:type="dxa"/>
          </w:tcPr>
          <w:p w14:paraId="7AFFDC48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0.4606</w:t>
            </w:r>
          </w:p>
        </w:tc>
      </w:tr>
      <w:tr w:rsidR="00B62E14" w:rsidRPr="005E2AAC" w14:paraId="23CF64A4" w14:textId="77777777" w:rsidTr="005E2AAC">
        <w:tc>
          <w:tcPr>
            <w:tcW w:w="997" w:type="dxa"/>
          </w:tcPr>
          <w:p w14:paraId="168F1EA8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PCI non-LMS</w:t>
            </w:r>
          </w:p>
        </w:tc>
        <w:tc>
          <w:tcPr>
            <w:tcW w:w="704" w:type="dxa"/>
          </w:tcPr>
          <w:p w14:paraId="0B97DDD0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13 (17.3)</w:t>
            </w:r>
          </w:p>
        </w:tc>
        <w:tc>
          <w:tcPr>
            <w:tcW w:w="709" w:type="dxa"/>
          </w:tcPr>
          <w:p w14:paraId="5C2532AD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16 (19.5)</w:t>
            </w:r>
          </w:p>
        </w:tc>
        <w:tc>
          <w:tcPr>
            <w:tcW w:w="709" w:type="dxa"/>
          </w:tcPr>
          <w:p w14:paraId="1A1606F1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15 (19.0)</w:t>
            </w:r>
          </w:p>
        </w:tc>
        <w:tc>
          <w:tcPr>
            <w:tcW w:w="708" w:type="dxa"/>
          </w:tcPr>
          <w:p w14:paraId="5A151B33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11 (13.9)</w:t>
            </w:r>
          </w:p>
        </w:tc>
        <w:tc>
          <w:tcPr>
            <w:tcW w:w="709" w:type="dxa"/>
          </w:tcPr>
          <w:p w14:paraId="76C15096" w14:textId="77777777" w:rsidR="00B62E14" w:rsidRPr="005E2AAC" w:rsidRDefault="00B62E14" w:rsidP="005E2AAC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15 (19.7)</w:t>
            </w:r>
          </w:p>
        </w:tc>
        <w:tc>
          <w:tcPr>
            <w:tcW w:w="709" w:type="dxa"/>
          </w:tcPr>
          <w:p w14:paraId="713D7B42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18 (21.2)</w:t>
            </w:r>
          </w:p>
        </w:tc>
        <w:tc>
          <w:tcPr>
            <w:tcW w:w="709" w:type="dxa"/>
          </w:tcPr>
          <w:p w14:paraId="5EAE7B0D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12 (15.0)</w:t>
            </w:r>
          </w:p>
        </w:tc>
        <w:tc>
          <w:tcPr>
            <w:tcW w:w="708" w:type="dxa"/>
          </w:tcPr>
          <w:p w14:paraId="66B3871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15 (16.1)</w:t>
            </w:r>
          </w:p>
        </w:tc>
        <w:tc>
          <w:tcPr>
            <w:tcW w:w="709" w:type="dxa"/>
          </w:tcPr>
          <w:p w14:paraId="1052C112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26 (30.6)</w:t>
            </w:r>
          </w:p>
        </w:tc>
        <w:tc>
          <w:tcPr>
            <w:tcW w:w="709" w:type="dxa"/>
          </w:tcPr>
          <w:p w14:paraId="51C59419" w14:textId="77777777" w:rsidR="00B62E14" w:rsidRPr="005E2AAC" w:rsidRDefault="00B62E14" w:rsidP="005E2AAC">
            <w:pPr>
              <w:rPr>
                <w:rFonts w:ascii="Arial" w:hAnsi="Arial" w:cs="Arial"/>
                <w:sz w:val="18"/>
                <w:szCs w:val="18"/>
              </w:rPr>
            </w:pPr>
            <w:r w:rsidRPr="005E2AAC">
              <w:rPr>
                <w:rFonts w:ascii="Arial" w:hAnsi="Arial" w:cs="Arial"/>
                <w:sz w:val="18"/>
                <w:szCs w:val="18"/>
              </w:rPr>
              <w:t>0.2129</w:t>
            </w:r>
          </w:p>
        </w:tc>
      </w:tr>
    </w:tbl>
    <w:p w14:paraId="0EF9BB06" w14:textId="77777777" w:rsidR="00AD15DC" w:rsidRPr="005E2AAC" w:rsidRDefault="00AD15DC">
      <w:pPr>
        <w:rPr>
          <w:rFonts w:ascii="Arial" w:hAnsi="Arial" w:cs="Arial"/>
        </w:rPr>
      </w:pPr>
    </w:p>
    <w:sectPr w:rsidR="00AD15DC" w:rsidRPr="005E2AAC" w:rsidSect="00B62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7859"/>
    <w:multiLevelType w:val="hybridMultilevel"/>
    <w:tmpl w:val="C1B497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39A0"/>
    <w:multiLevelType w:val="hybridMultilevel"/>
    <w:tmpl w:val="B762D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4283">
    <w:abstractNumId w:val="0"/>
  </w:num>
  <w:num w:numId="2" w16cid:durableId="191011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7"/>
    <w:rsid w:val="000A47E9"/>
    <w:rsid w:val="00173268"/>
    <w:rsid w:val="00296A32"/>
    <w:rsid w:val="003239AA"/>
    <w:rsid w:val="003763E8"/>
    <w:rsid w:val="003F6B66"/>
    <w:rsid w:val="003F7F5E"/>
    <w:rsid w:val="0052480E"/>
    <w:rsid w:val="0054642B"/>
    <w:rsid w:val="005E2AAC"/>
    <w:rsid w:val="00660BE8"/>
    <w:rsid w:val="0074395A"/>
    <w:rsid w:val="00744414"/>
    <w:rsid w:val="007454D9"/>
    <w:rsid w:val="00773C47"/>
    <w:rsid w:val="008C5792"/>
    <w:rsid w:val="009558BA"/>
    <w:rsid w:val="009748F0"/>
    <w:rsid w:val="009855CE"/>
    <w:rsid w:val="00986D5E"/>
    <w:rsid w:val="00992DD0"/>
    <w:rsid w:val="009F6EB8"/>
    <w:rsid w:val="00A17369"/>
    <w:rsid w:val="00AB7EAE"/>
    <w:rsid w:val="00AD15DC"/>
    <w:rsid w:val="00AF1C04"/>
    <w:rsid w:val="00B62E14"/>
    <w:rsid w:val="00B77A81"/>
    <w:rsid w:val="00BE268E"/>
    <w:rsid w:val="00CB2833"/>
    <w:rsid w:val="00CC4565"/>
    <w:rsid w:val="00D07659"/>
    <w:rsid w:val="00D41A57"/>
    <w:rsid w:val="00E61AF5"/>
    <w:rsid w:val="00F606B7"/>
    <w:rsid w:val="00FA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99BD"/>
  <w15:chartTrackingRefBased/>
  <w15:docId w15:val="{770DC837-659A-487E-8BFF-95750671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06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5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Gupta (CMDHB)</dc:creator>
  <cp:keywords/>
  <dc:description/>
  <cp:lastModifiedBy>Kaylah McBirney</cp:lastModifiedBy>
  <cp:revision>2</cp:revision>
  <dcterms:created xsi:type="dcterms:W3CDTF">2026-05-05T00:53:00Z</dcterms:created>
  <dcterms:modified xsi:type="dcterms:W3CDTF">2026-05-05T00:53:00Z</dcterms:modified>
</cp:coreProperties>
</file>