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86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640"/>
      </w:tblGrid>
      <w:tr w:rsidR="002B7FC8" w:rsidRPr="0003525D" w14:paraId="5A4DE250" w14:textId="77777777">
        <w:tc>
          <w:tcPr>
            <w:tcW w:w="8640" w:type="dxa"/>
          </w:tcPr>
          <w:p w14:paraId="5A4DE24F" w14:textId="3A814A08" w:rsidR="004E78BD" w:rsidRPr="00ED76C0" w:rsidRDefault="004E78BD" w:rsidP="004E78B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D76C0"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en-US"/>
              </w:rPr>
              <w:t>The Future of Health Promotion in Academia: Interdisciplinary Practice and Problem-Based Learning</w:t>
            </w:r>
          </w:p>
        </w:tc>
      </w:tr>
      <w:tr w:rsidR="002B7FC8" w:rsidRPr="0003525D" w14:paraId="5A4DE264" w14:textId="77777777" w:rsidTr="00D71EFE">
        <w:trPr>
          <w:trHeight w:val="7663"/>
        </w:trPr>
        <w:tc>
          <w:tcPr>
            <w:tcW w:w="8640" w:type="dxa"/>
          </w:tcPr>
          <w:p w14:paraId="5A4DE252" w14:textId="77777777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bookmarkStart w:id="0" w:name="_GoBack"/>
            <w:bookmarkEnd w:id="0"/>
          </w:p>
          <w:p w14:paraId="5A4DE253" w14:textId="2236E8AB" w:rsidR="00DA7A71" w:rsidRDefault="0025023F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Setting/problem</w:t>
            </w:r>
          </w:p>
          <w:p w14:paraId="5A4DE256" w14:textId="3E3B3685" w:rsidR="00DA7A71" w:rsidRPr="004E78BD" w:rsidRDefault="004E78BD" w:rsidP="004E78BD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53AE1">
              <w:rPr>
                <w:rFonts w:ascii="Arial" w:hAnsi="Arial" w:cs="Arial"/>
                <w:color w:val="000000" w:themeColor="text1"/>
                <w:sz w:val="22"/>
                <w:szCs w:val="22"/>
              </w:rPr>
              <w:t>The Th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ird Mission of higher education, based on institutional</w:t>
            </w:r>
            <w:r w:rsidRPr="00653AE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support 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and community engagement (UNESCO, 2008), </w:t>
            </w:r>
            <w:r w:rsidRPr="00653AE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is increasingly used 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in</w:t>
            </w:r>
            <w:r w:rsidRPr="00653AE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health-promoting universities (</w:t>
            </w:r>
            <w:proofErr w:type="spellStart"/>
            <w:r w:rsidRPr="00653AE1">
              <w:rPr>
                <w:rFonts w:ascii="Arial" w:hAnsi="Arial" w:cs="Arial"/>
                <w:color w:val="000000" w:themeColor="text1"/>
                <w:sz w:val="22"/>
                <w:szCs w:val="22"/>
              </w:rPr>
              <w:t>Ardiles</w:t>
            </w:r>
            <w:proofErr w:type="spellEnd"/>
            <w:r w:rsidRPr="00653AE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et al., 2017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); however, </w:t>
            </w:r>
            <w:r w:rsidRPr="00653AE1">
              <w:rPr>
                <w:rFonts w:ascii="Arial" w:hAnsi="Arial" w:cs="Arial"/>
                <w:color w:val="000000" w:themeColor="text1"/>
                <w:sz w:val="22"/>
                <w:szCs w:val="22"/>
              </w:rPr>
              <w:t>challenges to incorporating health promotion values and principles in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to </w:t>
            </w:r>
            <w:r w:rsidRPr="00653AE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curricula exist. Research priorities and a focus on academic success 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dim</w:t>
            </w:r>
            <w:r w:rsidRPr="001A27E0">
              <w:rPr>
                <w:rFonts w:ascii="Arial" w:hAnsi="Arial" w:cs="Arial"/>
                <w:color w:val="000000" w:themeColor="text1"/>
                <w:sz w:val="22"/>
                <w:szCs w:val="22"/>
              </w:rPr>
              <w:t>inish opportunities for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interdisciplinary practice and</w:t>
            </w:r>
            <w:r w:rsidRPr="001A27E0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experiential learning, 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both of </w:t>
            </w:r>
            <w:r w:rsidRPr="001A27E0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which 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can</w:t>
            </w:r>
            <w:r w:rsidRPr="001A27E0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propel the health promotion movement (</w:t>
            </w:r>
            <w:proofErr w:type="spellStart"/>
            <w:r w:rsidRPr="001A27E0">
              <w:rPr>
                <w:rFonts w:ascii="Arial" w:hAnsi="Arial" w:cs="Arial"/>
                <w:color w:val="000000" w:themeColor="text1"/>
                <w:sz w:val="22"/>
                <w:szCs w:val="22"/>
              </w:rPr>
              <w:t>Ardiles</w:t>
            </w:r>
            <w:proofErr w:type="spellEnd"/>
            <w:r w:rsidRPr="001A27E0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et al., 2017). Universities are impactful institutions that 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can</w:t>
            </w:r>
            <w:r w:rsidRPr="001A27E0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act as change agents in health promotion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; </w:t>
            </w:r>
            <w:r w:rsidRPr="001A27E0">
              <w:rPr>
                <w:rFonts w:ascii="Arial" w:hAnsi="Arial" w:cs="Arial"/>
                <w:color w:val="000000" w:themeColor="text1"/>
                <w:sz w:val="22"/>
                <w:szCs w:val="22"/>
              </w:rPr>
              <w:t>academic-community partnerships can integrate diverse pe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rspectives to develop holistic </w:t>
            </w:r>
            <w:r w:rsidRPr="001A27E0">
              <w:rPr>
                <w:rFonts w:ascii="Arial" w:hAnsi="Arial" w:cs="Arial"/>
                <w:color w:val="000000" w:themeColor="text1"/>
                <w:sz w:val="22"/>
                <w:szCs w:val="22"/>
              </w:rPr>
              <w:t>approaches to address public health issues (</w:t>
            </w:r>
            <w:proofErr w:type="spellStart"/>
            <w:r w:rsidRPr="001A27E0">
              <w:rPr>
                <w:rFonts w:ascii="Arial" w:hAnsi="Arial" w:cs="Arial"/>
                <w:color w:val="000000" w:themeColor="text1"/>
                <w:sz w:val="22"/>
                <w:szCs w:val="22"/>
              </w:rPr>
              <w:t>Minkler</w:t>
            </w:r>
            <w:proofErr w:type="spellEnd"/>
            <w:r w:rsidRPr="001A27E0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et al., 2003; Davidson &amp; Bowen, 2011). </w:t>
            </w:r>
          </w:p>
          <w:p w14:paraId="5A4DE257" w14:textId="77777777" w:rsidR="00DA7A71" w:rsidRDefault="00DA7A71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A4DE258" w14:textId="1F5676B1" w:rsidR="00DA7A71" w:rsidRDefault="0025023F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Intervention</w:t>
            </w:r>
          </w:p>
          <w:p w14:paraId="5A4DE25B" w14:textId="147ED3AD" w:rsidR="00DA7A71" w:rsidRDefault="004E78BD" w:rsidP="004E78B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53AE1">
              <w:rPr>
                <w:rFonts w:ascii="Arial" w:hAnsi="Arial" w:cs="Arial"/>
                <w:color w:val="000000" w:themeColor="text1"/>
                <w:sz w:val="22"/>
                <w:szCs w:val="22"/>
              </w:rPr>
              <w:t>The Health Change Lab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(HCL)</w:t>
            </w:r>
            <w:r w:rsidRPr="00653AE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at Simon Fraser University, 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co-</w:t>
            </w:r>
            <w:r w:rsidRPr="00653AE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developed by the Faculty of Health Sciences and 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RADIUS, Social Innovation Hub of </w:t>
            </w:r>
            <w:r w:rsidRPr="00653AE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the </w:t>
            </w:r>
            <w:proofErr w:type="spellStart"/>
            <w:r w:rsidRPr="00653AE1">
              <w:rPr>
                <w:rFonts w:ascii="Arial" w:hAnsi="Arial" w:cs="Arial"/>
                <w:color w:val="000000" w:themeColor="text1"/>
                <w:sz w:val="22"/>
                <w:szCs w:val="22"/>
              </w:rPr>
              <w:t>Beedie</w:t>
            </w:r>
            <w:proofErr w:type="spellEnd"/>
            <w:r w:rsidRPr="00653AE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School of Business, is an undergraduate experiential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, interdisciplinary</w:t>
            </w:r>
            <w:r w:rsidRPr="00653AE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learning course based on collaboration with academic leaders, community members and students. Using 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human-centred </w:t>
            </w:r>
            <w:r w:rsidRPr="00653AE1">
              <w:rPr>
                <w:rFonts w:ascii="Arial" w:hAnsi="Arial" w:cs="Arial"/>
                <w:color w:val="000000" w:themeColor="text1"/>
                <w:sz w:val="22"/>
                <w:szCs w:val="22"/>
              </w:rPr>
              <w:t>solution-focused approaches and community engagement, students from diverse disciplines bridge health promotion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and social innovation to </w:t>
            </w:r>
            <w:r w:rsidRPr="00653AE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understand and develop 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entrepreneurial </w:t>
            </w:r>
            <w:r w:rsidRPr="00653AE1">
              <w:rPr>
                <w:rFonts w:ascii="Arial" w:hAnsi="Arial" w:cs="Arial"/>
                <w:color w:val="000000" w:themeColor="text1"/>
                <w:sz w:val="22"/>
                <w:szCs w:val="22"/>
              </w:rPr>
              <w:t>solutions to address complex public health iss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ues in Surrey, British Columbia.</w:t>
            </w:r>
          </w:p>
          <w:p w14:paraId="5A4DE25C" w14:textId="77777777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5D" w14:textId="5B714693" w:rsidR="00DA7A71" w:rsidRDefault="0025023F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Outcomes</w:t>
            </w:r>
          </w:p>
          <w:p w14:paraId="5E5D1979" w14:textId="3426D080" w:rsidR="004B7D91" w:rsidRDefault="004E78BD" w:rsidP="004E78BD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Applying</w:t>
            </w:r>
            <w:r w:rsidRPr="00653AE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experiential learning</w:t>
            </w:r>
            <w:r w:rsidRPr="00653AE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to address public health issues benefitted all participants (</w:t>
            </w:r>
            <w:proofErr w:type="spellStart"/>
            <w:r w:rsidRPr="00653AE1">
              <w:rPr>
                <w:rFonts w:ascii="Arial" w:hAnsi="Arial" w:cs="Arial"/>
                <w:color w:val="000000" w:themeColor="text1"/>
                <w:sz w:val="22"/>
                <w:szCs w:val="22"/>
              </w:rPr>
              <w:t>Mahecha</w:t>
            </w:r>
            <w:proofErr w:type="spellEnd"/>
            <w:r w:rsidRPr="00653AE1">
              <w:rPr>
                <w:rFonts w:ascii="Arial" w:hAnsi="Arial" w:cs="Arial"/>
                <w:color w:val="000000" w:themeColor="text1"/>
                <w:sz w:val="22"/>
                <w:szCs w:val="22"/>
              </w:rPr>
              <w:t>, 2017). Students made valuable connections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with </w:t>
            </w:r>
            <w:r w:rsidRPr="00653AE1">
              <w:rPr>
                <w:rFonts w:ascii="Arial" w:hAnsi="Arial" w:cs="Arial"/>
                <w:color w:val="000000" w:themeColor="text1"/>
                <w:sz w:val="22"/>
                <w:szCs w:val="22"/>
              </w:rPr>
              <w:t>individuals with diverse, multi-discip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linary backgrounds who provided </w:t>
            </w:r>
            <w:r w:rsidRPr="00653AE1">
              <w:rPr>
                <w:rFonts w:ascii="Arial" w:hAnsi="Arial" w:cs="Arial"/>
                <w:color w:val="000000" w:themeColor="text1"/>
                <w:sz w:val="22"/>
                <w:szCs w:val="22"/>
              </w:rPr>
              <w:t>expert i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nput and feedback</w:t>
            </w:r>
            <w:r w:rsidRPr="00653AE1">
              <w:rPr>
                <w:rFonts w:ascii="Arial" w:hAnsi="Arial" w:cs="Arial"/>
                <w:color w:val="000000" w:themeColor="text1"/>
                <w:sz w:val="22"/>
                <w:szCs w:val="22"/>
              </w:rPr>
              <w:t>. Most students felt that this ‘real-world’ approach to teaching significantly improved their learning. New partnerships were made and existing relationships were strengthened between academic leaders and community partners, building capacity and trust (</w:t>
            </w:r>
            <w:proofErr w:type="spellStart"/>
            <w:r w:rsidRPr="00653AE1">
              <w:rPr>
                <w:rFonts w:ascii="Arial" w:hAnsi="Arial" w:cs="Arial"/>
                <w:color w:val="000000" w:themeColor="text1"/>
                <w:sz w:val="22"/>
                <w:szCs w:val="22"/>
              </w:rPr>
              <w:t>Mahecha</w:t>
            </w:r>
            <w:proofErr w:type="spellEnd"/>
            <w:r w:rsidRPr="00653AE1">
              <w:rPr>
                <w:rFonts w:ascii="Arial" w:hAnsi="Arial" w:cs="Arial"/>
                <w:color w:val="000000" w:themeColor="text1"/>
                <w:sz w:val="22"/>
                <w:szCs w:val="22"/>
              </w:rPr>
              <w:t>, 2017)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.</w:t>
            </w:r>
          </w:p>
          <w:p w14:paraId="089DEF63" w14:textId="2DF56954" w:rsidR="004B7D9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AD6967B" w14:textId="46260DAF" w:rsidR="004B7D91" w:rsidRDefault="0025023F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Implications</w:t>
            </w:r>
          </w:p>
          <w:p w14:paraId="292BA808" w14:textId="35039D48" w:rsidR="00C978A6" w:rsidRDefault="004E78BD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The HCL is an</w:t>
            </w:r>
            <w:r w:rsidRPr="00653AE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interdis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ciplinary approach to learning that used</w:t>
            </w:r>
            <w:r w:rsidRPr="00653AE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institutional support and community involvement to embed</w:t>
            </w:r>
            <w:r w:rsidRPr="00653AE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health promotion values and p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rinciples in academic curricula. The positive results </w:t>
            </w:r>
            <w:r w:rsidRPr="00653AE1">
              <w:rPr>
                <w:rFonts w:ascii="Arial" w:hAnsi="Arial" w:cs="Arial"/>
                <w:color w:val="000000" w:themeColor="text1"/>
                <w:sz w:val="22"/>
                <w:szCs w:val="22"/>
              </w:rPr>
              <w:t>cal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l</w:t>
            </w:r>
            <w:r w:rsidRPr="00653AE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for enhancing 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the future of health promotion in academia</w:t>
            </w:r>
            <w:r w:rsidRPr="00653AE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to shift 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from </w:t>
            </w:r>
            <w:r w:rsidRPr="00653AE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traditional classroom learning 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and</w:t>
            </w:r>
            <w:r w:rsidRPr="00653AE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incorporate inte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rdisciplinary, community-based </w:t>
            </w:r>
            <w:r w:rsidRPr="00653AE1">
              <w:rPr>
                <w:rFonts w:ascii="Arial" w:hAnsi="Arial" w:cs="Arial"/>
                <w:color w:val="000000" w:themeColor="text1"/>
                <w:sz w:val="22"/>
                <w:szCs w:val="22"/>
              </w:rPr>
              <w:t>learning central to health promotion practice (Bernardo et al., 2012).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The success also instigated the development of Surrey City Lab, a community-academic partnership </w:t>
            </w:r>
            <w:r w:rsidRPr="00624BC6">
              <w:rPr>
                <w:rFonts w:ascii="Arial" w:hAnsi="Arial" w:cs="Arial"/>
                <w:sz w:val="22"/>
                <w:szCs w:val="22"/>
              </w:rPr>
              <w:t xml:space="preserve">launched in </w:t>
            </w:r>
            <w:r>
              <w:rPr>
                <w:rFonts w:ascii="Arial" w:hAnsi="Arial" w:cs="Arial"/>
                <w:sz w:val="22"/>
                <w:szCs w:val="22"/>
              </w:rPr>
              <w:t>the summer of</w:t>
            </w:r>
            <w:r w:rsidRPr="00624BC6">
              <w:rPr>
                <w:rFonts w:ascii="Arial" w:hAnsi="Arial" w:cs="Arial"/>
                <w:sz w:val="22"/>
                <w:szCs w:val="22"/>
              </w:rPr>
              <w:t xml:space="preserve"> 2018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24B8CD62" w14:textId="60ABE0DF" w:rsidR="004B7D9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CDEB4A9" w14:textId="6E34AA77" w:rsidR="004B7D91" w:rsidRDefault="0025023F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Preferred</w:t>
            </w:r>
            <w:r w:rsidR="00994DCB">
              <w:rPr>
                <w:rFonts w:ascii="Arial" w:hAnsi="Arial" w:cs="Arial"/>
                <w:b/>
                <w:sz w:val="22"/>
                <w:szCs w:val="22"/>
              </w:rPr>
              <w:t xml:space="preserve"> presentation format</w:t>
            </w:r>
          </w:p>
          <w:p w14:paraId="5A4DE261" w14:textId="4F0E2210" w:rsidR="00DA7A71" w:rsidRPr="004E78BD" w:rsidRDefault="004E78BD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E78BD">
              <w:rPr>
                <w:rFonts w:ascii="Arial" w:hAnsi="Arial" w:cs="Arial"/>
                <w:sz w:val="22"/>
                <w:szCs w:val="22"/>
              </w:rPr>
              <w:t>Oral</w:t>
            </w:r>
          </w:p>
          <w:p w14:paraId="5A4DE262" w14:textId="76239C87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63" w14:textId="3A181901" w:rsidR="00DA7A71" w:rsidRPr="00DA7A71" w:rsidRDefault="00DA7A71" w:rsidP="00E36AD7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5A4DE265" w14:textId="4C2C1C75" w:rsidR="00490208" w:rsidRDefault="00490208" w:rsidP="004C45A1"/>
    <w:sectPr w:rsidR="00490208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4D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4D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ShadeFormData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63BFF"/>
    <w:rsid w:val="00026E39"/>
    <w:rsid w:val="0003525D"/>
    <w:rsid w:val="00077988"/>
    <w:rsid w:val="0008349E"/>
    <w:rsid w:val="000C05CE"/>
    <w:rsid w:val="00131D1E"/>
    <w:rsid w:val="001C3A37"/>
    <w:rsid w:val="00211765"/>
    <w:rsid w:val="00230B21"/>
    <w:rsid w:val="00242808"/>
    <w:rsid w:val="0025023F"/>
    <w:rsid w:val="00294265"/>
    <w:rsid w:val="002B7FC8"/>
    <w:rsid w:val="002F34DB"/>
    <w:rsid w:val="00317FFE"/>
    <w:rsid w:val="00363AF7"/>
    <w:rsid w:val="003A6236"/>
    <w:rsid w:val="003B15A7"/>
    <w:rsid w:val="003F596D"/>
    <w:rsid w:val="00490208"/>
    <w:rsid w:val="004B5B95"/>
    <w:rsid w:val="004B7D91"/>
    <w:rsid w:val="004C45A1"/>
    <w:rsid w:val="004E345D"/>
    <w:rsid w:val="004E78BD"/>
    <w:rsid w:val="00564331"/>
    <w:rsid w:val="00590824"/>
    <w:rsid w:val="005F7DC7"/>
    <w:rsid w:val="006605DB"/>
    <w:rsid w:val="00663BFF"/>
    <w:rsid w:val="006C6E32"/>
    <w:rsid w:val="0070252B"/>
    <w:rsid w:val="00714C46"/>
    <w:rsid w:val="007A2A9C"/>
    <w:rsid w:val="007E61BA"/>
    <w:rsid w:val="0082392D"/>
    <w:rsid w:val="008874BF"/>
    <w:rsid w:val="008C05AC"/>
    <w:rsid w:val="00932377"/>
    <w:rsid w:val="009579B1"/>
    <w:rsid w:val="00994DCB"/>
    <w:rsid w:val="009B7881"/>
    <w:rsid w:val="009C7B98"/>
    <w:rsid w:val="00A112C8"/>
    <w:rsid w:val="00A1780F"/>
    <w:rsid w:val="00AA1598"/>
    <w:rsid w:val="00AA5B46"/>
    <w:rsid w:val="00AB42C9"/>
    <w:rsid w:val="00B12CD1"/>
    <w:rsid w:val="00B20967"/>
    <w:rsid w:val="00B766BF"/>
    <w:rsid w:val="00BC5CBE"/>
    <w:rsid w:val="00C211D2"/>
    <w:rsid w:val="00C73E89"/>
    <w:rsid w:val="00C84789"/>
    <w:rsid w:val="00C978A6"/>
    <w:rsid w:val="00CA0DE6"/>
    <w:rsid w:val="00CB2597"/>
    <w:rsid w:val="00CC5CF2"/>
    <w:rsid w:val="00CD0335"/>
    <w:rsid w:val="00CE496D"/>
    <w:rsid w:val="00CE5D57"/>
    <w:rsid w:val="00D71EFE"/>
    <w:rsid w:val="00DA45EE"/>
    <w:rsid w:val="00DA7A71"/>
    <w:rsid w:val="00DC2C64"/>
    <w:rsid w:val="00DE6D44"/>
    <w:rsid w:val="00E0479B"/>
    <w:rsid w:val="00E36AD7"/>
    <w:rsid w:val="00E379B4"/>
    <w:rsid w:val="00E458B1"/>
    <w:rsid w:val="00ED76C0"/>
    <w:rsid w:val="00F16B61"/>
    <w:rsid w:val="00F407AD"/>
    <w:rsid w:val="00F86A0C"/>
    <w:rsid w:val="00FB6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4DE24F"/>
  <w15:docId w15:val="{FCF49339-833B-4882-8C2E-DBD959950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0C05CE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BodyTextIndent">
    <w:name w:val="Body Text Indent"/>
    <w:basedOn w:val="Normal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bleGrid">
    <w:name w:val="Table Grid"/>
    <w:basedOn w:val="TableNormal"/>
    <w:rsid w:val="000C0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Normal"/>
    <w:next w:val="Normal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l"/>
    <w:next w:val="Normal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itle">
    <w:name w:val="Title"/>
    <w:basedOn w:val="Normal"/>
    <w:next w:val="Normal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lWeb">
    <w:name w:val="Normal (Web)"/>
    <w:basedOn w:val="Normal"/>
    <w:uiPriority w:val="99"/>
    <w:unhideWhenUsed/>
    <w:rsid w:val="00230B21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8" ma:contentTypeDescription="Create a new document." ma:contentTypeScope="" ma:versionID="efe19204e6b5c119b62b88d6d91d1f42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397a7d01447ff7f61bcfcbd82a446996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9CBA305-D6DE-402C-9727-2D94310D6D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8E73DA3-73E0-43F4-9980-89255A6268B5}">
  <ds:schemaRefs>
    <ds:schemaRef ds:uri="http://schemas.openxmlformats.org/package/2006/metadata/core-properties"/>
    <ds:schemaRef ds:uri="http://purl.org/dc/dcmitype/"/>
    <ds:schemaRef ds:uri="http://www.w3.org/XML/1998/namespace"/>
    <ds:schemaRef ds:uri="http://purl.org/dc/elements/1.1/"/>
    <ds:schemaRef ds:uri="http://schemas.microsoft.com/office/2006/metadata/properties"/>
    <ds:schemaRef ds:uri="6911e96c-4cc4-42d5-8e43-f93924cf6a05"/>
    <ds:schemaRef ds:uri="http://purl.org/dc/terms/"/>
    <ds:schemaRef ds:uri="9c8a2b7b-0bee-4c48-b0a6-23db8982d3bc"/>
    <ds:schemaRef ds:uri="http://schemas.microsoft.com/office/2006/documentManagement/typ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79ABAC3-01E4-451F-A64B-B1FA0674289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392</Words>
  <Characters>2237</Characters>
  <Application>Microsoft Office Word</Application>
  <DocSecurity>4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Paper</vt:lpstr>
    </vt:vector>
  </TitlesOfParts>
  <Company>The Conference Company</Company>
  <LinksUpToDate>false</LinksUpToDate>
  <CharactersWithSpaces>2624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</dc:title>
  <dc:creator>Administrator</dc:creator>
  <cp:lastModifiedBy>Ani Santos</cp:lastModifiedBy>
  <cp:revision>2</cp:revision>
  <dcterms:created xsi:type="dcterms:W3CDTF">2018-08-26T23:15:00Z</dcterms:created>
  <dcterms:modified xsi:type="dcterms:W3CDTF">2018-08-26T23:15:00Z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