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A814A08" w:rsidR="004E78BD" w:rsidRPr="00ED76C0" w:rsidRDefault="004E78BD" w:rsidP="004E78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76C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The Future of Health Promotion in Academia: Interdisciplinary Practice and Problem-Based Learning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6" w14:textId="3E3B3685" w:rsidR="00DA7A71" w:rsidRPr="004E78BD" w:rsidRDefault="004E78BD" w:rsidP="004E78B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The Th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ird Mission of higher education, based on institutional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support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community engagement (UNESCO, 2008),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increasingly used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health-promoting universities (</w:t>
            </w:r>
            <w:proofErr w:type="spellStart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Ardiles</w:t>
            </w:r>
            <w:proofErr w:type="spellEnd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et al., 2017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); however,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challenges to incorporating health promotion values and principles 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curricula exist. Research priorities and a focus on academic success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dim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>inish opportunities for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interdisciplinary practice and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experiential learning,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both of 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which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can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propel the health promotion movement (</w:t>
            </w:r>
            <w:proofErr w:type="spellStart"/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>Ardiles</w:t>
            </w:r>
            <w:proofErr w:type="spellEnd"/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et al., 2017). Universities are impactful institutions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can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act as change agents in health promotion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>academic-community partnerships can integrate diverse pe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rspectives to develop holistic </w:t>
            </w:r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approaches to address public health issues (</w:t>
            </w:r>
            <w:proofErr w:type="spellStart"/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>Minkler</w:t>
            </w:r>
            <w:proofErr w:type="spellEnd"/>
            <w:r w:rsidRPr="001A27E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et al., 2003; Davidson &amp; Bowen, 2011).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B" w14:textId="147ED3AD" w:rsidR="00DA7A71" w:rsidRDefault="004E78BD" w:rsidP="004E78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The Health Change Lab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(HCL)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 Simon Fraser University,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co-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developed by the Faculty of Health Sciences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RADIUS, Social Innovation Hub of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Beedie</w:t>
            </w:r>
            <w:proofErr w:type="spellEnd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School of Business, is an undergraduate experiential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interdisciplinary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learning course based on collaboration with academic leaders, community members and students. Using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human-centred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solution-focused approaches and community engagement, students from diverse disciplines bridge health promotion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social innovation to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understand and develop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entrepreneurial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solutions to address complex public health iss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ues in Surrey, British Columbia.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E5D1979" w14:textId="3426D080" w:rsidR="004B7D91" w:rsidRDefault="004E78BD" w:rsidP="004E78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Applying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experiential learning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address public health issues benefitted all participants (</w:t>
            </w:r>
            <w:proofErr w:type="spellStart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Mahecha</w:t>
            </w:r>
            <w:proofErr w:type="spellEnd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, 2017). Students made valuable connections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individuals with diverse, multi-discip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linary backgrounds who provided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expert 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nput and feedback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. Most students felt that this ‘real-world’ approach to teaching significantly improved their learning. New partnerships were made and existing relationships were strengthened between academic leaders and community partners, building capacity and trust (</w:t>
            </w:r>
            <w:proofErr w:type="spellStart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Mahecha</w:t>
            </w:r>
            <w:proofErr w:type="spellEnd"/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, 2017)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92BA808" w14:textId="35039D48" w:rsidR="00C978A6" w:rsidRDefault="004E78B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HCL is an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interdis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ciplinary approach to learning that used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institutional support and community involvement to embed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 promotion values and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rinciples in academic curricula. The positive results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cal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enhancing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future of health promotion in academia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shift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from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traditional classroom learning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incorporate inte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rdisciplinary, community-based </w:t>
            </w:r>
            <w:r w:rsidRPr="00653AE1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central to health promotion practice (Bernardo et al., 2012).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success also instigated the development of Surrey City Lab, a community-academic partnership </w:t>
            </w:r>
            <w:r w:rsidRPr="00624BC6">
              <w:rPr>
                <w:rFonts w:ascii="Arial" w:hAnsi="Arial" w:cs="Arial"/>
                <w:sz w:val="22"/>
                <w:szCs w:val="22"/>
              </w:rPr>
              <w:t xml:space="preserve">launched in </w:t>
            </w:r>
            <w:r>
              <w:rPr>
                <w:rFonts w:ascii="Arial" w:hAnsi="Arial" w:cs="Arial"/>
                <w:sz w:val="22"/>
                <w:szCs w:val="22"/>
              </w:rPr>
              <w:t>the summer of</w:t>
            </w:r>
            <w:r w:rsidRPr="00624BC6">
              <w:rPr>
                <w:rFonts w:ascii="Arial" w:hAnsi="Arial" w:cs="Arial"/>
                <w:sz w:val="22"/>
                <w:szCs w:val="22"/>
              </w:rPr>
              <w:t xml:space="preserve"> 2018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1" w14:textId="4F0E2210" w:rsidR="00DA7A71" w:rsidRPr="004E78BD" w:rsidRDefault="004E78B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BD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4E78B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D76C0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6911e96c-4cc4-42d5-8e43-f93924cf6a05"/>
    <ds:schemaRef ds:uri="http://purl.org/dc/terms/"/>
    <ds:schemaRef ds:uri="9c8a2b7b-0bee-4c48-b0a6-23db8982d3bc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2018-08-26T23:15:00Z</dcterms:created>
  <dcterms:modified xsi:type="dcterms:W3CDTF">2018-08-26T23:15:00Z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