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741AFF3C" w14:textId="77777777" w:rsidR="003E6D9C" w:rsidRDefault="00F16B61" w:rsidP="00E36AD7">
            <w:pPr>
              <w:jc w:val="both"/>
              <w:rPr>
                <w:rFonts w:ascii="Arial" w:hAnsi="Arial" w:cs="Arial"/>
                <w:b/>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55883">
              <w:rPr>
                <w:rFonts w:ascii="Arial" w:hAnsi="Arial" w:cs="Arial"/>
                <w:b/>
                <w:sz w:val="22"/>
                <w:szCs w:val="22"/>
              </w:rPr>
              <w:t>:</w:t>
            </w:r>
            <w:r w:rsidR="00E36AD7" w:rsidRPr="00E36AD7">
              <w:rPr>
                <w:rFonts w:ascii="Arial" w:hAnsi="Arial" w:cs="Arial"/>
                <w:b/>
                <w:sz w:val="22"/>
                <w:szCs w:val="22"/>
              </w:rPr>
              <w:t xml:space="preserve"> </w:t>
            </w:r>
          </w:p>
          <w:p w14:paraId="0EDFC6FE" w14:textId="77777777" w:rsidR="003E6D9C" w:rsidRDefault="003E6D9C" w:rsidP="00E36AD7">
            <w:pPr>
              <w:jc w:val="both"/>
              <w:rPr>
                <w:rFonts w:ascii="Arial" w:hAnsi="Arial" w:cs="Arial"/>
                <w:b/>
                <w:sz w:val="22"/>
                <w:szCs w:val="22"/>
              </w:rPr>
            </w:pPr>
          </w:p>
          <w:p w14:paraId="61181C35" w14:textId="4ABEA57F" w:rsidR="002B7FC8" w:rsidRDefault="003E6D9C" w:rsidP="00E36AD7">
            <w:pPr>
              <w:jc w:val="both"/>
              <w:rPr>
                <w:color w:val="0000FF"/>
              </w:rPr>
            </w:pPr>
            <w:bookmarkStart w:id="0" w:name="_GoBack"/>
            <w:bookmarkEnd w:id="0"/>
            <w:r w:rsidRPr="003E6D9C">
              <w:rPr>
                <w:rFonts w:ascii="Arial" w:hAnsi="Arial" w:cs="Arial"/>
                <w:b/>
                <w:sz w:val="22"/>
                <w:szCs w:val="22"/>
              </w:rPr>
              <w:t>An exploration of prison staff and residents' experiences of participating in the Wellbeing Champions Programme: The Human 5</w:t>
            </w:r>
          </w:p>
          <w:p w14:paraId="5A4DE24F" w14:textId="02F08B2E" w:rsidR="003E6D9C" w:rsidRPr="00242808" w:rsidRDefault="003E6D9C"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6159803F" w14:textId="719E6440" w:rsidR="002D0A8F" w:rsidRDefault="004B7D91" w:rsidP="00B4321E">
            <w:pPr>
              <w:jc w:val="both"/>
              <w:rPr>
                <w:rFonts w:ascii="Arial" w:hAnsi="Arial" w:cs="Arial"/>
                <w:sz w:val="22"/>
                <w:szCs w:val="22"/>
              </w:rPr>
            </w:pPr>
            <w:r>
              <w:rPr>
                <w:rFonts w:ascii="Arial" w:hAnsi="Arial" w:cs="Arial"/>
                <w:b/>
                <w:sz w:val="22"/>
                <w:szCs w:val="22"/>
              </w:rPr>
              <w:t>Background</w:t>
            </w:r>
            <w:r w:rsidR="00E55883">
              <w:rPr>
                <w:rFonts w:ascii="Arial" w:hAnsi="Arial" w:cs="Arial"/>
                <w:b/>
                <w:sz w:val="22"/>
                <w:szCs w:val="22"/>
              </w:rPr>
              <w:t xml:space="preserve">: </w:t>
            </w:r>
            <w:r w:rsidR="00E55883">
              <w:rPr>
                <w:rFonts w:ascii="Arial" w:hAnsi="Arial" w:cs="Arial"/>
                <w:sz w:val="22"/>
                <w:szCs w:val="22"/>
              </w:rPr>
              <w:t xml:space="preserve">It is well established that people in custody experience poorer mental </w:t>
            </w:r>
            <w:r w:rsidR="00EE236A">
              <w:rPr>
                <w:rFonts w:ascii="Arial" w:hAnsi="Arial" w:cs="Arial"/>
                <w:sz w:val="22"/>
                <w:szCs w:val="22"/>
              </w:rPr>
              <w:t>a</w:t>
            </w:r>
            <w:r w:rsidR="00E55883">
              <w:rPr>
                <w:rFonts w:ascii="Arial" w:hAnsi="Arial" w:cs="Arial"/>
                <w:sz w:val="22"/>
                <w:szCs w:val="22"/>
              </w:rPr>
              <w:t>nd physical health at disproportionately higher rates than general populations.</w:t>
            </w:r>
            <w:r w:rsidR="00F75F27">
              <w:rPr>
                <w:rFonts w:ascii="Arial" w:hAnsi="Arial" w:cs="Arial"/>
                <w:sz w:val="22"/>
                <w:szCs w:val="22"/>
              </w:rPr>
              <w:t xml:space="preserve"> </w:t>
            </w:r>
            <w:r w:rsidR="00E55883">
              <w:rPr>
                <w:rFonts w:ascii="Arial" w:hAnsi="Arial" w:cs="Arial"/>
                <w:sz w:val="22"/>
                <w:szCs w:val="22"/>
              </w:rPr>
              <w:t xml:space="preserve">Yet prison settings have the potential to reduce inequalities by adopting health practices and policies which seek to support and promote healthy behaviours and environments. Health and wellbeing interventions based on principles </w:t>
            </w:r>
            <w:r w:rsidR="00441CAF">
              <w:rPr>
                <w:rFonts w:ascii="Arial" w:hAnsi="Arial" w:cs="Arial"/>
                <w:sz w:val="22"/>
                <w:szCs w:val="22"/>
              </w:rPr>
              <w:t xml:space="preserve">of </w:t>
            </w:r>
            <w:r w:rsidR="007A4BF4">
              <w:rPr>
                <w:rFonts w:ascii="Arial" w:hAnsi="Arial" w:cs="Arial"/>
                <w:sz w:val="22"/>
                <w:szCs w:val="22"/>
              </w:rPr>
              <w:t>e</w:t>
            </w:r>
            <w:r w:rsidR="00E55883">
              <w:rPr>
                <w:rFonts w:ascii="Arial" w:hAnsi="Arial" w:cs="Arial"/>
                <w:sz w:val="22"/>
                <w:szCs w:val="22"/>
              </w:rPr>
              <w:t xml:space="preserve">mpowerment, participation and peer support have shown promising results for prisoners (residents). An innovative health promotion programme has been delivered at 2 female prisons in England. The Wellbeing Champions Programme seeks to address both resident </w:t>
            </w:r>
            <w:r w:rsidR="00E55883" w:rsidRPr="00063BB5">
              <w:rPr>
                <w:rFonts w:ascii="Arial" w:hAnsi="Arial" w:cs="Arial"/>
                <w:i/>
                <w:sz w:val="22"/>
                <w:szCs w:val="22"/>
              </w:rPr>
              <w:t>and</w:t>
            </w:r>
            <w:r w:rsidR="00E55883">
              <w:rPr>
                <w:rFonts w:ascii="Arial" w:hAnsi="Arial" w:cs="Arial"/>
                <w:sz w:val="22"/>
                <w:szCs w:val="22"/>
              </w:rPr>
              <w:t xml:space="preserve"> staff wellbeing needs. It is both a framework for understanding health and its wider determinants, and a tool for facilitating shared learning and goal-setting. It</w:t>
            </w:r>
            <w:r w:rsidR="00865BE6">
              <w:rPr>
                <w:rFonts w:ascii="Arial" w:hAnsi="Arial" w:cs="Arial"/>
                <w:sz w:val="22"/>
                <w:szCs w:val="22"/>
              </w:rPr>
              <w:t xml:space="preserve"> aims to </w:t>
            </w:r>
            <w:r w:rsidR="00E55883">
              <w:rPr>
                <w:rFonts w:ascii="Arial" w:hAnsi="Arial" w:cs="Arial"/>
                <w:sz w:val="22"/>
                <w:szCs w:val="22"/>
              </w:rPr>
              <w:t xml:space="preserve">embed health and wellbeing into the culture of the prison, its methods are participatory, and its goal is to enable healthy behaviour change through the process of empowerment, choice and control – core values </w:t>
            </w:r>
            <w:r w:rsidR="0085018A">
              <w:rPr>
                <w:rFonts w:ascii="Arial" w:hAnsi="Arial" w:cs="Arial"/>
                <w:sz w:val="22"/>
                <w:szCs w:val="22"/>
              </w:rPr>
              <w:t xml:space="preserve">of </w:t>
            </w:r>
            <w:r w:rsidR="00E55883">
              <w:rPr>
                <w:rFonts w:ascii="Arial" w:hAnsi="Arial" w:cs="Arial"/>
                <w:sz w:val="22"/>
                <w:szCs w:val="22"/>
              </w:rPr>
              <w:t>health promotion practice</w:t>
            </w:r>
            <w:r w:rsidR="003E550B">
              <w:rPr>
                <w:rFonts w:ascii="Arial" w:hAnsi="Arial" w:cs="Arial"/>
                <w:sz w:val="22"/>
                <w:szCs w:val="22"/>
              </w:rPr>
              <w:t>.</w:t>
            </w:r>
            <w:r w:rsidR="006D4486">
              <w:rPr>
                <w:rFonts w:ascii="Arial" w:hAnsi="Arial" w:cs="Arial"/>
                <w:sz w:val="22"/>
                <w:szCs w:val="22"/>
              </w:rPr>
              <w:t xml:space="preserve">  </w:t>
            </w:r>
          </w:p>
          <w:p w14:paraId="4F19C537" w14:textId="52A6BACF" w:rsidR="0057708B" w:rsidRDefault="00E55883" w:rsidP="00B4321E">
            <w:pPr>
              <w:jc w:val="both"/>
              <w:rPr>
                <w:rFonts w:ascii="Arial" w:hAnsi="Arial" w:cs="Arial"/>
                <w:sz w:val="22"/>
                <w:szCs w:val="22"/>
              </w:rPr>
            </w:pPr>
            <w:r>
              <w:rPr>
                <w:rFonts w:ascii="Arial" w:hAnsi="Arial" w:cs="Arial"/>
                <w:b/>
                <w:sz w:val="22"/>
                <w:szCs w:val="22"/>
              </w:rPr>
              <w:t>O</w:t>
            </w:r>
            <w:r w:rsidRPr="002D2BCE">
              <w:rPr>
                <w:rFonts w:ascii="Arial" w:hAnsi="Arial" w:cs="Arial"/>
                <w:b/>
                <w:sz w:val="22"/>
                <w:szCs w:val="22"/>
              </w:rPr>
              <w:t>bjectives</w:t>
            </w:r>
            <w:r>
              <w:rPr>
                <w:rFonts w:ascii="Arial" w:hAnsi="Arial" w:cs="Arial"/>
                <w:b/>
                <w:sz w:val="22"/>
                <w:szCs w:val="22"/>
              </w:rPr>
              <w:t xml:space="preserve">: </w:t>
            </w:r>
            <w:r>
              <w:rPr>
                <w:rFonts w:ascii="Arial" w:hAnsi="Arial" w:cs="Arial"/>
                <w:sz w:val="22"/>
                <w:szCs w:val="22"/>
              </w:rPr>
              <w:t xml:space="preserve">This study explored experiences of staff (15) and resident (23) </w:t>
            </w:r>
            <w:r w:rsidR="00F56885">
              <w:rPr>
                <w:rFonts w:ascii="Arial" w:hAnsi="Arial" w:cs="Arial"/>
                <w:sz w:val="22"/>
                <w:szCs w:val="22"/>
              </w:rPr>
              <w:t>Wellbeing Champions.</w:t>
            </w:r>
            <w:r>
              <w:rPr>
                <w:rFonts w:ascii="Arial" w:hAnsi="Arial" w:cs="Arial"/>
                <w:sz w:val="22"/>
                <w:szCs w:val="22"/>
              </w:rPr>
              <w:t xml:space="preserve"> Its aim was to inform our understanding of how programmes focused on both resident </w:t>
            </w:r>
            <w:r w:rsidRPr="00DA00CF">
              <w:rPr>
                <w:rFonts w:ascii="Arial" w:hAnsi="Arial" w:cs="Arial"/>
                <w:i/>
                <w:sz w:val="22"/>
                <w:szCs w:val="22"/>
              </w:rPr>
              <w:t>and</w:t>
            </w:r>
            <w:r>
              <w:rPr>
                <w:rFonts w:ascii="Arial" w:hAnsi="Arial" w:cs="Arial"/>
                <w:sz w:val="22"/>
                <w:szCs w:val="22"/>
              </w:rPr>
              <w:t xml:space="preserve"> staff wellbeing relate to how well health and wellbeing are integrated within the culture of the prison; how the values of health promotion might influence healthy behaviour change for residents and staff in a challenging setting; and how a participatory approach influences whether Wellbeing Champions identify and overcome some of the wider determinants of health in prison.</w:t>
            </w:r>
            <w:r w:rsidR="00745122">
              <w:rPr>
                <w:rFonts w:ascii="Arial" w:hAnsi="Arial" w:cs="Arial"/>
                <w:sz w:val="22"/>
                <w:szCs w:val="22"/>
              </w:rPr>
              <w:t xml:space="preserve"> </w:t>
            </w:r>
          </w:p>
          <w:p w14:paraId="45032855" w14:textId="77777777" w:rsidR="003E1819" w:rsidRDefault="004B7D91" w:rsidP="00B4321E">
            <w:pPr>
              <w:jc w:val="both"/>
              <w:rPr>
                <w:rFonts w:ascii="Arial" w:hAnsi="Arial" w:cs="Arial"/>
                <w:sz w:val="22"/>
                <w:szCs w:val="22"/>
              </w:rPr>
            </w:pPr>
            <w:r>
              <w:rPr>
                <w:rFonts w:ascii="Arial" w:hAnsi="Arial" w:cs="Arial"/>
                <w:b/>
                <w:sz w:val="22"/>
                <w:szCs w:val="22"/>
              </w:rPr>
              <w:t>Methods</w:t>
            </w:r>
            <w:r w:rsidR="00E55883">
              <w:rPr>
                <w:rFonts w:ascii="Arial" w:hAnsi="Arial" w:cs="Arial"/>
                <w:b/>
                <w:sz w:val="22"/>
                <w:szCs w:val="22"/>
              </w:rPr>
              <w:t>:</w:t>
            </w:r>
            <w:r w:rsidR="00E55883" w:rsidRPr="00332974">
              <w:rPr>
                <w:rFonts w:ascii="Arial" w:hAnsi="Arial" w:cs="Arial"/>
                <w:sz w:val="22"/>
                <w:szCs w:val="22"/>
              </w:rPr>
              <w:t xml:space="preserve"> Adopting a </w:t>
            </w:r>
            <w:r w:rsidR="00E55883">
              <w:rPr>
                <w:rFonts w:ascii="Arial" w:hAnsi="Arial" w:cs="Arial"/>
                <w:sz w:val="22"/>
                <w:szCs w:val="22"/>
              </w:rPr>
              <w:t xml:space="preserve">purposively </w:t>
            </w:r>
            <w:r w:rsidR="00E55883" w:rsidRPr="00332974">
              <w:rPr>
                <w:rFonts w:ascii="Arial" w:hAnsi="Arial" w:cs="Arial"/>
                <w:sz w:val="22"/>
                <w:szCs w:val="22"/>
              </w:rPr>
              <w:t xml:space="preserve">qualitative approach </w:t>
            </w:r>
            <w:r w:rsidR="00E55883">
              <w:rPr>
                <w:rFonts w:ascii="Arial" w:hAnsi="Arial" w:cs="Arial"/>
                <w:sz w:val="22"/>
                <w:szCs w:val="22"/>
              </w:rPr>
              <w:t xml:space="preserve">Wellbeing Champions </w:t>
            </w:r>
            <w:r w:rsidR="00CC1323">
              <w:rPr>
                <w:rFonts w:ascii="Arial" w:hAnsi="Arial" w:cs="Arial"/>
                <w:sz w:val="22"/>
                <w:szCs w:val="22"/>
              </w:rPr>
              <w:t xml:space="preserve">attended </w:t>
            </w:r>
            <w:r w:rsidR="00E55883">
              <w:rPr>
                <w:rFonts w:ascii="Arial" w:hAnsi="Arial" w:cs="Arial"/>
                <w:sz w:val="22"/>
                <w:szCs w:val="22"/>
              </w:rPr>
              <w:t>focus groups of 6-10 staff</w:t>
            </w:r>
            <w:r w:rsidR="008347A9">
              <w:rPr>
                <w:rFonts w:ascii="Arial" w:hAnsi="Arial" w:cs="Arial"/>
                <w:sz w:val="22"/>
                <w:szCs w:val="22"/>
              </w:rPr>
              <w:t>/</w:t>
            </w:r>
            <w:r w:rsidR="00E55883">
              <w:rPr>
                <w:rFonts w:ascii="Arial" w:hAnsi="Arial" w:cs="Arial"/>
                <w:sz w:val="22"/>
                <w:szCs w:val="22"/>
              </w:rPr>
              <w:t>residents. Qualitative content analysis was used to analyse the data. Taking a deductive approach</w:t>
            </w:r>
            <w:r w:rsidR="00700DCC">
              <w:rPr>
                <w:rFonts w:ascii="Arial" w:hAnsi="Arial" w:cs="Arial"/>
                <w:sz w:val="22"/>
                <w:szCs w:val="22"/>
              </w:rPr>
              <w:t xml:space="preserve">, </w:t>
            </w:r>
            <w:r w:rsidR="00E55883">
              <w:rPr>
                <w:rFonts w:ascii="Arial" w:hAnsi="Arial" w:cs="Arial"/>
                <w:sz w:val="22"/>
                <w:szCs w:val="22"/>
              </w:rPr>
              <w:t xml:space="preserve">categories were determined in the context of the research questions which related to health promotion theory. </w:t>
            </w:r>
          </w:p>
          <w:p w14:paraId="3789AA7F" w14:textId="23C12DB4" w:rsidR="00E55883" w:rsidRPr="00A06C60" w:rsidRDefault="004B7D91" w:rsidP="00B4321E">
            <w:pPr>
              <w:jc w:val="both"/>
              <w:rPr>
                <w:rFonts w:ascii="Arial" w:hAnsi="Arial" w:cs="Arial"/>
                <w:sz w:val="22"/>
                <w:szCs w:val="22"/>
              </w:rPr>
            </w:pPr>
            <w:r>
              <w:rPr>
                <w:rFonts w:ascii="Arial" w:hAnsi="Arial" w:cs="Arial"/>
                <w:b/>
                <w:sz w:val="22"/>
                <w:szCs w:val="22"/>
              </w:rPr>
              <w:t>Results</w:t>
            </w:r>
            <w:r w:rsidR="00E55883">
              <w:rPr>
                <w:rFonts w:ascii="Arial" w:hAnsi="Arial" w:cs="Arial"/>
                <w:b/>
                <w:sz w:val="22"/>
                <w:szCs w:val="22"/>
              </w:rPr>
              <w:t>:</w:t>
            </w:r>
            <w:r w:rsidR="00E55883" w:rsidRPr="00A06C60">
              <w:rPr>
                <w:rFonts w:ascii="Arial" w:hAnsi="Arial" w:cs="Arial"/>
                <w:sz w:val="22"/>
                <w:szCs w:val="22"/>
              </w:rPr>
              <w:t xml:space="preserve"> </w:t>
            </w:r>
            <w:r w:rsidR="0033076D">
              <w:rPr>
                <w:rFonts w:ascii="Arial" w:hAnsi="Arial" w:cs="Arial"/>
                <w:sz w:val="22"/>
                <w:szCs w:val="22"/>
              </w:rPr>
              <w:t>P</w:t>
            </w:r>
            <w:r w:rsidR="00E55883" w:rsidRPr="00A06C60">
              <w:rPr>
                <w:rFonts w:ascii="Arial" w:hAnsi="Arial" w:cs="Arial"/>
                <w:sz w:val="22"/>
                <w:szCs w:val="22"/>
              </w:rPr>
              <w:t xml:space="preserve">reliminary analysis of the </w:t>
            </w:r>
            <w:r w:rsidR="00C722E5">
              <w:rPr>
                <w:rFonts w:ascii="Arial" w:hAnsi="Arial" w:cs="Arial"/>
                <w:sz w:val="22"/>
                <w:szCs w:val="22"/>
              </w:rPr>
              <w:t>interviews will be available for the conference.</w:t>
            </w:r>
          </w:p>
          <w:p w14:paraId="1856454E" w14:textId="40AD90AF" w:rsidR="00B617F3" w:rsidRDefault="00E55883" w:rsidP="00B4321E">
            <w:pPr>
              <w:jc w:val="both"/>
              <w:rPr>
                <w:rFonts w:ascii="Arial" w:hAnsi="Arial" w:cs="Arial"/>
                <w:sz w:val="22"/>
                <w:szCs w:val="22"/>
              </w:rPr>
            </w:pPr>
            <w:r>
              <w:rPr>
                <w:rFonts w:ascii="Arial" w:hAnsi="Arial" w:cs="Arial"/>
                <w:b/>
                <w:sz w:val="22"/>
                <w:szCs w:val="22"/>
              </w:rPr>
              <w:t>Discussion:</w:t>
            </w:r>
            <w:r w:rsidR="009A3AC8">
              <w:rPr>
                <w:rFonts w:ascii="Arial" w:hAnsi="Arial" w:cs="Arial"/>
                <w:b/>
                <w:sz w:val="22"/>
                <w:szCs w:val="22"/>
              </w:rPr>
              <w:t xml:space="preserve"> </w:t>
            </w:r>
            <w:r w:rsidRPr="00127250">
              <w:rPr>
                <w:rFonts w:ascii="Arial" w:hAnsi="Arial" w:cs="Arial"/>
                <w:sz w:val="22"/>
                <w:szCs w:val="22"/>
              </w:rPr>
              <w:t xml:space="preserve">An exploration of health promotion in </w:t>
            </w:r>
            <w:r w:rsidR="00D32FF0">
              <w:rPr>
                <w:rFonts w:ascii="Arial" w:hAnsi="Arial" w:cs="Arial"/>
                <w:sz w:val="22"/>
                <w:szCs w:val="22"/>
              </w:rPr>
              <w:t xml:space="preserve">female </w:t>
            </w:r>
            <w:r w:rsidRPr="00127250">
              <w:rPr>
                <w:rFonts w:ascii="Arial" w:hAnsi="Arial" w:cs="Arial"/>
                <w:sz w:val="22"/>
                <w:szCs w:val="22"/>
              </w:rPr>
              <w:t>prison settings</w:t>
            </w:r>
            <w:r>
              <w:rPr>
                <w:rFonts w:ascii="Arial" w:hAnsi="Arial" w:cs="Arial"/>
                <w:sz w:val="22"/>
                <w:szCs w:val="22"/>
              </w:rPr>
              <w:t xml:space="preserve"> </w:t>
            </w:r>
            <w:r w:rsidRPr="00127250">
              <w:rPr>
                <w:rFonts w:ascii="Arial" w:hAnsi="Arial" w:cs="Arial"/>
                <w:sz w:val="22"/>
                <w:szCs w:val="22"/>
              </w:rPr>
              <w:t>with a focus</w:t>
            </w:r>
            <w:r>
              <w:rPr>
                <w:rFonts w:ascii="Arial" w:hAnsi="Arial" w:cs="Arial"/>
                <w:sz w:val="22"/>
                <w:szCs w:val="22"/>
              </w:rPr>
              <w:t xml:space="preserve"> on core values including empowerment, choice and control. How might programmes which bring together both staff </w:t>
            </w:r>
            <w:r w:rsidRPr="00E55883">
              <w:rPr>
                <w:rFonts w:ascii="Arial" w:hAnsi="Arial" w:cs="Arial"/>
                <w:i/>
                <w:sz w:val="22"/>
                <w:szCs w:val="22"/>
              </w:rPr>
              <w:t xml:space="preserve">and </w:t>
            </w:r>
            <w:r>
              <w:rPr>
                <w:rFonts w:ascii="Arial" w:hAnsi="Arial" w:cs="Arial"/>
                <w:sz w:val="22"/>
                <w:szCs w:val="22"/>
              </w:rPr>
              <w:t>residents influence how they collectively address barriers to health and wellbeing in a prison setting</w:t>
            </w:r>
            <w:r w:rsidR="00B617F3">
              <w:rPr>
                <w:rFonts w:ascii="Arial" w:hAnsi="Arial" w:cs="Arial"/>
                <w:sz w:val="22"/>
                <w:szCs w:val="22"/>
              </w:rPr>
              <w:t>?</w:t>
            </w:r>
          </w:p>
          <w:p w14:paraId="38B27613" w14:textId="77777777" w:rsidR="00E55883" w:rsidRDefault="00E55883" w:rsidP="00B4321E">
            <w:pPr>
              <w:jc w:val="both"/>
              <w:rPr>
                <w:rFonts w:ascii="Arial" w:hAnsi="Arial" w:cs="Arial"/>
                <w:b/>
                <w:sz w:val="22"/>
                <w:szCs w:val="22"/>
              </w:rPr>
            </w:pPr>
            <w:r>
              <w:rPr>
                <w:rFonts w:ascii="Arial" w:hAnsi="Arial" w:cs="Arial"/>
                <w:b/>
                <w:sz w:val="22"/>
                <w:szCs w:val="22"/>
              </w:rPr>
              <w:t>Keywords</w:t>
            </w:r>
            <w:r w:rsidR="009A3AC8">
              <w:rPr>
                <w:rFonts w:ascii="Arial" w:hAnsi="Arial" w:cs="Arial"/>
                <w:b/>
                <w:sz w:val="22"/>
                <w:szCs w:val="22"/>
              </w:rPr>
              <w:t xml:space="preserve">: </w:t>
            </w:r>
            <w:r>
              <w:rPr>
                <w:rFonts w:ascii="Arial" w:hAnsi="Arial" w:cs="Arial"/>
                <w:b/>
                <w:sz w:val="22"/>
                <w:szCs w:val="22"/>
              </w:rPr>
              <w:t>Health Promoting Prisons; inequality; participatory; empowerment; behaviour change; determinants; gender</w:t>
            </w:r>
          </w:p>
          <w:p w14:paraId="103880B8" w14:textId="77777777" w:rsidR="009363FD" w:rsidRDefault="009363FD" w:rsidP="00B4321E">
            <w:pPr>
              <w:jc w:val="both"/>
              <w:rPr>
                <w:rFonts w:ascii="Arial" w:hAnsi="Arial" w:cs="Arial"/>
                <w:bCs/>
                <w:sz w:val="22"/>
                <w:szCs w:val="22"/>
              </w:rPr>
            </w:pPr>
          </w:p>
          <w:p w14:paraId="5A4DE263" w14:textId="31687AB7" w:rsidR="009363FD" w:rsidRPr="00DA7A71" w:rsidRDefault="009363FD" w:rsidP="00B4321E">
            <w:pPr>
              <w:jc w:val="both"/>
              <w:rPr>
                <w:rFonts w:ascii="Arial" w:hAnsi="Arial" w:cs="Arial"/>
                <w:bCs/>
                <w:sz w:val="22"/>
                <w:szCs w:val="22"/>
              </w:rPr>
            </w:pPr>
          </w:p>
        </w:tc>
      </w:tr>
    </w:tbl>
    <w:p w14:paraId="5A4DE265" w14:textId="4C2C1C75" w:rsidR="00490208" w:rsidRDefault="00490208" w:rsidP="00B4321E">
      <w:pPr>
        <w:jc w:val="both"/>
      </w:pPr>
    </w:p>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4020B"/>
    <w:rsid w:val="001A7B81"/>
    <w:rsid w:val="001C3A37"/>
    <w:rsid w:val="00211765"/>
    <w:rsid w:val="0021542C"/>
    <w:rsid w:val="00230B21"/>
    <w:rsid w:val="00234EAA"/>
    <w:rsid w:val="00242808"/>
    <w:rsid w:val="0028771B"/>
    <w:rsid w:val="00294265"/>
    <w:rsid w:val="002B7FC8"/>
    <w:rsid w:val="002D0A8F"/>
    <w:rsid w:val="002F34DB"/>
    <w:rsid w:val="00317FFE"/>
    <w:rsid w:val="0033076D"/>
    <w:rsid w:val="0036211A"/>
    <w:rsid w:val="00363AF7"/>
    <w:rsid w:val="003A6236"/>
    <w:rsid w:val="003B15A7"/>
    <w:rsid w:val="003E1819"/>
    <w:rsid w:val="003E550B"/>
    <w:rsid w:val="003E6D9C"/>
    <w:rsid w:val="003F596D"/>
    <w:rsid w:val="00415288"/>
    <w:rsid w:val="00441CAF"/>
    <w:rsid w:val="004752D1"/>
    <w:rsid w:val="00490208"/>
    <w:rsid w:val="004A0C99"/>
    <w:rsid w:val="004B51BF"/>
    <w:rsid w:val="004B5B95"/>
    <w:rsid w:val="004B7D91"/>
    <w:rsid w:val="004C45A1"/>
    <w:rsid w:val="004E345D"/>
    <w:rsid w:val="00564331"/>
    <w:rsid w:val="0057708B"/>
    <w:rsid w:val="00590824"/>
    <w:rsid w:val="005C0837"/>
    <w:rsid w:val="005F7DC7"/>
    <w:rsid w:val="006605DB"/>
    <w:rsid w:val="00663BFF"/>
    <w:rsid w:val="006C6E32"/>
    <w:rsid w:val="006D4486"/>
    <w:rsid w:val="00700DCC"/>
    <w:rsid w:val="0070252B"/>
    <w:rsid w:val="00714C46"/>
    <w:rsid w:val="00745122"/>
    <w:rsid w:val="007A2A9C"/>
    <w:rsid w:val="007A4BF4"/>
    <w:rsid w:val="007E61BA"/>
    <w:rsid w:val="0082392D"/>
    <w:rsid w:val="008347A9"/>
    <w:rsid w:val="00844C69"/>
    <w:rsid w:val="0085018A"/>
    <w:rsid w:val="00865BE6"/>
    <w:rsid w:val="008874BF"/>
    <w:rsid w:val="008C05AC"/>
    <w:rsid w:val="008C05C1"/>
    <w:rsid w:val="008D0C29"/>
    <w:rsid w:val="00932377"/>
    <w:rsid w:val="009363FD"/>
    <w:rsid w:val="009579B1"/>
    <w:rsid w:val="009A3AC8"/>
    <w:rsid w:val="009B7881"/>
    <w:rsid w:val="00A112C8"/>
    <w:rsid w:val="00A1780F"/>
    <w:rsid w:val="00AA1598"/>
    <w:rsid w:val="00AA5B46"/>
    <w:rsid w:val="00AB42C9"/>
    <w:rsid w:val="00AE77DE"/>
    <w:rsid w:val="00B12CD1"/>
    <w:rsid w:val="00B20967"/>
    <w:rsid w:val="00B235E6"/>
    <w:rsid w:val="00B3523E"/>
    <w:rsid w:val="00B4321E"/>
    <w:rsid w:val="00B617F3"/>
    <w:rsid w:val="00B766BF"/>
    <w:rsid w:val="00BC5CBE"/>
    <w:rsid w:val="00C211D2"/>
    <w:rsid w:val="00C24FFC"/>
    <w:rsid w:val="00C722E5"/>
    <w:rsid w:val="00C73E89"/>
    <w:rsid w:val="00C84789"/>
    <w:rsid w:val="00C85A82"/>
    <w:rsid w:val="00C978A6"/>
    <w:rsid w:val="00CA0DE6"/>
    <w:rsid w:val="00CB2597"/>
    <w:rsid w:val="00CC1323"/>
    <w:rsid w:val="00CC5CF2"/>
    <w:rsid w:val="00CD0335"/>
    <w:rsid w:val="00CE496D"/>
    <w:rsid w:val="00CE5D57"/>
    <w:rsid w:val="00D32FF0"/>
    <w:rsid w:val="00D36C33"/>
    <w:rsid w:val="00D71EFE"/>
    <w:rsid w:val="00DA45EE"/>
    <w:rsid w:val="00DA7A71"/>
    <w:rsid w:val="00DC2C64"/>
    <w:rsid w:val="00DE6D44"/>
    <w:rsid w:val="00E0479B"/>
    <w:rsid w:val="00E20599"/>
    <w:rsid w:val="00E36AD7"/>
    <w:rsid w:val="00E379B4"/>
    <w:rsid w:val="00E458B1"/>
    <w:rsid w:val="00E55883"/>
    <w:rsid w:val="00EB12EB"/>
    <w:rsid w:val="00EE236A"/>
    <w:rsid w:val="00F16B61"/>
    <w:rsid w:val="00F407AD"/>
    <w:rsid w:val="00F56885"/>
    <w:rsid w:val="00F75F27"/>
    <w:rsid w:val="00F86A0C"/>
    <w:rsid w:val="00FB626D"/>
    <w:rsid w:val="00FD6E9E"/>
    <w:rsid w:val="00FE1B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www.w3.org/XML/1998/namespace"/>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6911e96c-4cc4-42d5-8e43-f93924cf6a05"/>
    <ds:schemaRef ds:uri="http://schemas.microsoft.com/office/2006/metadata/properti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C54CD5D6-02FB-435D-B4DA-E9FA2A6B3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2019-03-04T03:07:00Z</dcterms:created>
  <dcterms:modified xsi:type="dcterms:W3CDTF">2019-03-04T03:07:00Z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